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0" w:lineRule="exact"/>
        <w:rPr>
          <w:sz w:val="24"/>
          <w:szCs w:val="24"/>
          <w:color w:val="auto"/>
        </w:rPr>
      </w:pPr>
      <w:r>
        <w:rPr>
          <w:sz w:val="24"/>
          <w:szCs w:val="24"/>
          <w:color w:val="auto"/>
        </w:rPr>
        <w:br w:type="column"/>
      </w:r>
    </w:p>
    <w:p>
      <w:pPr>
        <w:jc w:val="center"/>
        <w:ind w:right="800"/>
        <w:spacing w:after="0"/>
        <w:rPr>
          <w:sz w:val="20"/>
          <w:szCs w:val="20"/>
          <w:color w:val="auto"/>
        </w:rPr>
      </w:pPr>
      <w:r>
        <w:rPr>
          <w:rFonts w:ascii="Arial" w:cs="Arial" w:eastAsia="Arial" w:hAnsi="Arial"/>
          <w:sz w:val="16"/>
          <w:szCs w:val="16"/>
          <w:color w:val="auto"/>
        </w:rPr>
        <w:t>UNITED STATES</w:t>
      </w:r>
    </w:p>
    <w:p>
      <w:pPr>
        <w:spacing w:after="0" w:line="1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SECURITIES AND EXCHANGE COMMISSION</w:t>
      </w: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Washington, D.C. 20549</w:t>
      </w:r>
    </w:p>
    <w:p>
      <w:pPr>
        <w:spacing w:after="0" w:line="235"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FORM 10-Q</w:t>
      </w:r>
    </w:p>
    <w:p>
      <w:pPr>
        <w:spacing w:after="0" w:line="153" w:lineRule="exact"/>
        <w:rPr>
          <w:sz w:val="24"/>
          <w:szCs w:val="24"/>
          <w:color w:val="auto"/>
        </w:rPr>
      </w:pPr>
    </w:p>
    <w:p>
      <w:pPr>
        <w:spacing w:after="0" w:line="196" w:lineRule="exact"/>
        <w:tabs>
          <w:tab w:leader="none" w:pos="38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6"/>
          <w:szCs w:val="16"/>
          <w:color w:val="auto"/>
        </w:rPr>
        <w:tab/>
        <w:t>QUARTERLY REPORT PURSUANT TO SECTION 13 OR 15(d) OF THE SECURITIES EXCHANGE ACT OF 1934</w:t>
      </w:r>
    </w:p>
    <w:p>
      <w:pPr>
        <w:spacing w:after="0" w:line="291"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For the quarterly period ended July 29, 2023</w:t>
      </w:r>
    </w:p>
    <w:p>
      <w:pPr>
        <w:spacing w:after="0" w:line="200" w:lineRule="exact"/>
        <w:rPr>
          <w:sz w:val="24"/>
          <w:szCs w:val="24"/>
          <w:color w:val="auto"/>
        </w:rPr>
      </w:pPr>
    </w:p>
    <w:p>
      <w:pPr>
        <w:sectPr>
          <w:pgSz w:w="11900" w:h="16838" w:orient="portrait"/>
          <w:cols w:equalWidth="0" w:num="2">
            <w:col w:w="700" w:space="100"/>
            <w:col w:w="10440"/>
          </w:cols>
          <w:pgMar w:left="320" w:top="1047" w:right="339" w:bottom="1440" w:gutter="0" w:footer="0" w:header="0"/>
        </w:sectPr>
      </w:pPr>
    </w:p>
    <w:p>
      <w:pPr>
        <w:spacing w:after="0" w:line="16" w:lineRule="exact"/>
        <w:rPr>
          <w:sz w:val="24"/>
          <w:szCs w:val="24"/>
          <w:color w:val="auto"/>
        </w:rPr>
      </w:pPr>
    </w:p>
    <w:p>
      <w:pPr>
        <w:ind w:left="500" w:hanging="391"/>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w:t>
      </w:r>
    </w:p>
    <w:p>
      <w:pPr>
        <w:spacing w:after="0" w:line="257"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60" w:type="dxa"/>
            <w:vAlign w:val="bottom"/>
            <w:gridSpan w:val="6"/>
          </w:tcPr>
          <w:p>
            <w:pPr>
              <w:jc w:val="right"/>
              <w:ind w:right="3579"/>
              <w:spacing w:after="0"/>
              <w:rPr>
                <w:sz w:val="20"/>
                <w:szCs w:val="20"/>
                <w:color w:val="auto"/>
              </w:rPr>
            </w:pPr>
            <w:r>
              <w:rPr>
                <w:rFonts w:ascii="Arial" w:cs="Arial" w:eastAsia="Arial" w:hAnsi="Arial"/>
                <w:sz w:val="16"/>
                <w:szCs w:val="16"/>
                <w:b w:val="1"/>
                <w:bCs w:val="1"/>
                <w:color w:val="auto"/>
              </w:rPr>
              <w:t>Commission file number: 0-14678</w:t>
            </w:r>
          </w:p>
        </w:tc>
        <w:tc>
          <w:tcPr>
            <w:tcW w:w="0" w:type="dxa"/>
            <w:vAlign w:val="bottom"/>
          </w:tcPr>
          <w:p>
            <w:pPr>
              <w:spacing w:after="0"/>
              <w:rPr>
                <w:sz w:val="1"/>
                <w:szCs w:val="1"/>
                <w:color w:val="auto"/>
              </w:rPr>
            </w:pPr>
          </w:p>
        </w:tc>
      </w:tr>
      <w:tr>
        <w:trPr>
          <w:trHeight w:val="335"/>
        </w:trPr>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40" w:type="dxa"/>
            <w:vAlign w:val="bottom"/>
            <w:gridSpan w:val="3"/>
          </w:tcPr>
          <w:p>
            <w:pPr>
              <w:jc w:val="center"/>
              <w:spacing w:after="0"/>
              <w:rPr>
                <w:sz w:val="20"/>
                <w:szCs w:val="20"/>
                <w:color w:val="auto"/>
              </w:rPr>
            </w:pPr>
            <w:r>
              <w:rPr>
                <w:rFonts w:ascii="Arial" w:cs="Arial" w:eastAsia="Arial" w:hAnsi="Arial"/>
                <w:sz w:val="22"/>
                <w:szCs w:val="22"/>
                <w:b w:val="1"/>
                <w:bCs w:val="1"/>
                <w:color w:val="auto"/>
                <w:w w:val="98"/>
              </w:rPr>
              <w:t>Ross Stores, Inc.</w:t>
            </w: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560" w:type="dxa"/>
            <w:vAlign w:val="bottom"/>
            <w:gridSpan w:val="6"/>
          </w:tcPr>
          <w:p>
            <w:pPr>
              <w:jc w:val="center"/>
              <w:ind w:right="2039"/>
              <w:spacing w:after="0"/>
              <w:rPr>
                <w:sz w:val="20"/>
                <w:szCs w:val="20"/>
                <w:color w:val="auto"/>
              </w:rPr>
            </w:pPr>
            <w:r>
              <w:rPr>
                <w:rFonts w:ascii="Arial" w:cs="Arial" w:eastAsia="Arial" w:hAnsi="Arial"/>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39"/>
        </w:trPr>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0" w:type="dxa"/>
            <w:vAlign w:val="bottom"/>
            <w:gridSpan w:val="2"/>
          </w:tcPr>
          <w:p>
            <w:pPr>
              <w:jc w:val="center"/>
              <w:ind w:right="1299"/>
              <w:spacing w:after="0"/>
              <w:rPr>
                <w:sz w:val="20"/>
                <w:szCs w:val="20"/>
                <w:color w:val="auto"/>
              </w:rPr>
            </w:pPr>
            <w:r>
              <w:rPr>
                <w:rFonts w:ascii="Arial" w:cs="Arial" w:eastAsia="Arial" w:hAnsi="Arial"/>
                <w:sz w:val="16"/>
                <w:szCs w:val="16"/>
                <w:b w:val="1"/>
                <w:bCs w:val="1"/>
                <w:color w:val="auto"/>
                <w:w w:val="99"/>
              </w:rPr>
              <w:t>Delaware</w:t>
            </w: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20" w:type="dxa"/>
            <w:vAlign w:val="bottom"/>
            <w:gridSpan w:val="2"/>
          </w:tcPr>
          <w:p>
            <w:pPr>
              <w:jc w:val="center"/>
              <w:ind w:right="959"/>
              <w:spacing w:after="0"/>
              <w:rPr>
                <w:sz w:val="20"/>
                <w:szCs w:val="20"/>
                <w:color w:val="auto"/>
              </w:rPr>
            </w:pPr>
            <w:r>
              <w:rPr>
                <w:rFonts w:ascii="Arial" w:cs="Arial" w:eastAsia="Arial" w:hAnsi="Arial"/>
                <w:sz w:val="16"/>
                <w:szCs w:val="16"/>
                <w:b w:val="1"/>
                <w:bCs w:val="1"/>
                <w:color w:val="auto"/>
              </w:rPr>
              <w:t>94-1390387</w:t>
            </w:r>
          </w:p>
        </w:tc>
        <w:tc>
          <w:tcPr>
            <w:tcW w:w="0" w:type="dxa"/>
            <w:vAlign w:val="bottom"/>
          </w:tcPr>
          <w:p>
            <w:pPr>
              <w:spacing w:after="0"/>
              <w:rPr>
                <w:sz w:val="1"/>
                <w:szCs w:val="1"/>
                <w:color w:val="auto"/>
              </w:rPr>
            </w:pPr>
          </w:p>
        </w:tc>
      </w:tr>
      <w:tr>
        <w:trPr>
          <w:trHeight w:val="207"/>
        </w:trPr>
        <w:tc>
          <w:tcPr>
            <w:tcW w:w="4500" w:type="dxa"/>
            <w:vAlign w:val="bottom"/>
            <w:gridSpan w:val="4"/>
          </w:tcPr>
          <w:p>
            <w:pPr>
              <w:jc w:val="center"/>
              <w:ind w:left="659"/>
              <w:spacing w:after="0"/>
              <w:rPr>
                <w:sz w:val="20"/>
                <w:szCs w:val="20"/>
                <w:color w:val="auto"/>
              </w:rPr>
            </w:pPr>
            <w:r>
              <w:rPr>
                <w:rFonts w:ascii="Arial" w:cs="Arial" w:eastAsia="Arial" w:hAnsi="Arial"/>
                <w:sz w:val="16"/>
                <w:szCs w:val="16"/>
                <w:color w:val="auto"/>
              </w:rPr>
              <w:t>(State or other jurisdiction of incorporation or</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20" w:type="dxa"/>
            <w:vAlign w:val="bottom"/>
            <w:gridSpan w:val="2"/>
          </w:tcPr>
          <w:p>
            <w:pPr>
              <w:jc w:val="center"/>
              <w:ind w:right="959"/>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0" w:type="dxa"/>
            <w:vAlign w:val="bottom"/>
            <w:gridSpan w:val="2"/>
          </w:tcPr>
          <w:p>
            <w:pPr>
              <w:jc w:val="center"/>
              <w:ind w:right="1299"/>
              <w:spacing w:after="0"/>
              <w:rPr>
                <w:sz w:val="20"/>
                <w:szCs w:val="20"/>
                <w:color w:val="auto"/>
              </w:rPr>
            </w:pPr>
            <w:r>
              <w:rPr>
                <w:rFonts w:ascii="Arial" w:cs="Arial" w:eastAsia="Arial" w:hAnsi="Arial"/>
                <w:sz w:val="16"/>
                <w:szCs w:val="16"/>
                <w:color w:val="auto"/>
              </w:rPr>
              <w:t>organization)</w:t>
            </w: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4500" w:type="dxa"/>
            <w:vAlign w:val="bottom"/>
            <w:gridSpan w:val="4"/>
          </w:tcPr>
          <w:p>
            <w:pPr>
              <w:ind w:left="820"/>
              <w:spacing w:after="0"/>
              <w:rPr>
                <w:sz w:val="20"/>
                <w:szCs w:val="20"/>
                <w:color w:val="auto"/>
              </w:rPr>
            </w:pPr>
            <w:r>
              <w:rPr>
                <w:rFonts w:ascii="Arial" w:cs="Arial" w:eastAsia="Arial" w:hAnsi="Arial"/>
                <w:sz w:val="16"/>
                <w:szCs w:val="16"/>
                <w:b w:val="1"/>
                <w:bCs w:val="1"/>
                <w:color w:val="auto"/>
              </w:rPr>
              <w:t>5130 Hacienda Drive, Dublin,  California</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2"/>
          </w:tcPr>
          <w:p>
            <w:pPr>
              <w:jc w:val="center"/>
              <w:ind w:right="959"/>
              <w:spacing w:after="0"/>
              <w:rPr>
                <w:sz w:val="20"/>
                <w:szCs w:val="20"/>
                <w:color w:val="auto"/>
              </w:rPr>
            </w:pPr>
            <w:r>
              <w:rPr>
                <w:rFonts w:ascii="Arial" w:cs="Arial" w:eastAsia="Arial" w:hAnsi="Arial"/>
                <w:sz w:val="16"/>
                <w:szCs w:val="16"/>
                <w:b w:val="1"/>
                <w:bCs w:val="1"/>
                <w:color w:val="auto"/>
              </w:rPr>
              <w:t>94568-7579</w:t>
            </w:r>
          </w:p>
        </w:tc>
        <w:tc>
          <w:tcPr>
            <w:tcW w:w="0" w:type="dxa"/>
            <w:vAlign w:val="bottom"/>
          </w:tcPr>
          <w:p>
            <w:pPr>
              <w:spacing w:after="0"/>
              <w:rPr>
                <w:sz w:val="1"/>
                <w:szCs w:val="1"/>
                <w:color w:val="auto"/>
              </w:rPr>
            </w:pPr>
          </w:p>
        </w:tc>
      </w:tr>
      <w:tr>
        <w:trPr>
          <w:trHeight w:val="207"/>
        </w:trPr>
        <w:tc>
          <w:tcPr>
            <w:tcW w:w="4500" w:type="dxa"/>
            <w:vAlign w:val="bottom"/>
            <w:gridSpan w:val="4"/>
          </w:tcPr>
          <w:p>
            <w:pPr>
              <w:jc w:val="center"/>
              <w:ind w:left="639"/>
              <w:spacing w:after="0"/>
              <w:rPr>
                <w:sz w:val="20"/>
                <w:szCs w:val="20"/>
                <w:color w:val="auto"/>
              </w:rPr>
            </w:pPr>
            <w:r>
              <w:rPr>
                <w:rFonts w:ascii="Arial" w:cs="Arial" w:eastAsia="Arial" w:hAnsi="Arial"/>
                <w:sz w:val="16"/>
                <w:szCs w:val="16"/>
                <w:color w:val="auto"/>
              </w:rPr>
              <w:t>(Address of principal executive offices)</w:t>
            </w: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0" w:type="dxa"/>
            <w:vAlign w:val="bottom"/>
          </w:tcPr>
          <w:p>
            <w:pPr>
              <w:jc w:val="center"/>
              <w:ind w:right="1599"/>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387"/>
        </w:trPr>
        <w:tc>
          <w:tcPr>
            <w:tcW w:w="4500" w:type="dxa"/>
            <w:vAlign w:val="bottom"/>
            <w:gridSpan w:val="4"/>
          </w:tcPr>
          <w:p>
            <w:pPr>
              <w:jc w:val="center"/>
              <w:ind w:left="639"/>
              <w:spacing w:after="0"/>
              <w:rPr>
                <w:sz w:val="20"/>
                <w:szCs w:val="20"/>
                <w:color w:val="auto"/>
              </w:rPr>
            </w:pPr>
            <w:r>
              <w:rPr>
                <w:rFonts w:ascii="Arial" w:cs="Arial" w:eastAsia="Arial" w:hAnsi="Arial"/>
                <w:sz w:val="16"/>
                <w:szCs w:val="16"/>
                <w:color w:val="auto"/>
              </w:rPr>
              <w:t>Registrant’s telephone number, including area</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2"/>
            <w:vMerge w:val="restart"/>
          </w:tcPr>
          <w:p>
            <w:pPr>
              <w:jc w:val="right"/>
              <w:ind w:right="1839"/>
              <w:spacing w:after="0"/>
              <w:rPr>
                <w:sz w:val="20"/>
                <w:szCs w:val="20"/>
                <w:color w:val="auto"/>
              </w:rPr>
            </w:pPr>
            <w:r>
              <w:rPr>
                <w:rFonts w:ascii="Arial" w:cs="Arial" w:eastAsia="Arial" w:hAnsi="Arial"/>
                <w:sz w:val="16"/>
                <w:szCs w:val="16"/>
                <w:b w:val="1"/>
                <w:bCs w:val="1"/>
                <w:color w:val="auto"/>
              </w:rPr>
              <w:t>(925) 965-4400</w:t>
            </w:r>
          </w:p>
        </w:tc>
        <w:tc>
          <w:tcPr>
            <w:tcW w:w="0" w:type="dxa"/>
            <w:vAlign w:val="bottom"/>
          </w:tcPr>
          <w:p>
            <w:pPr>
              <w:spacing w:after="0"/>
              <w:rPr>
                <w:sz w:val="1"/>
                <w:szCs w:val="1"/>
                <w:color w:val="auto"/>
              </w:rPr>
            </w:pPr>
          </w:p>
        </w:tc>
      </w:tr>
      <w:tr>
        <w:trPr>
          <w:trHeight w:val="219"/>
        </w:trPr>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0" w:type="dxa"/>
            <w:vAlign w:val="bottom"/>
            <w:gridSpan w:val="2"/>
          </w:tcPr>
          <w:p>
            <w:pPr>
              <w:jc w:val="center"/>
              <w:ind w:right="1299"/>
              <w:spacing w:after="0"/>
              <w:rPr>
                <w:sz w:val="20"/>
                <w:szCs w:val="20"/>
                <w:color w:val="auto"/>
              </w:rPr>
            </w:pPr>
            <w:r>
              <w:rPr>
                <w:rFonts w:ascii="Arial" w:cs="Arial" w:eastAsia="Arial" w:hAnsi="Arial"/>
                <w:sz w:val="16"/>
                <w:szCs w:val="16"/>
                <w:color w:val="auto"/>
                <w:w w:val="97"/>
              </w:rPr>
              <w:t>code</w:t>
            </w: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28"/>
        </w:trPr>
        <w:tc>
          <w:tcPr>
            <w:tcW w:w="4500" w:type="dxa"/>
            <w:vAlign w:val="bottom"/>
            <w:gridSpan w:val="4"/>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620" w:type="dxa"/>
            <w:vAlign w:val="bottom"/>
          </w:tcPr>
          <w:p>
            <w:pPr>
              <w:spacing w:after="0"/>
              <w:rPr>
                <w:sz w:val="24"/>
                <w:szCs w:val="24"/>
                <w:color w:val="auto"/>
              </w:rPr>
            </w:pPr>
          </w:p>
        </w:tc>
        <w:tc>
          <w:tcPr>
            <w:tcW w:w="2880" w:type="dxa"/>
            <w:vAlign w:val="bottom"/>
            <w:gridSpan w:val="3"/>
          </w:tcPr>
          <w:p>
            <w:pPr>
              <w:spacing w:after="0"/>
              <w:rPr>
                <w:sz w:val="20"/>
                <w:szCs w:val="20"/>
                <w:color w:val="auto"/>
              </w:rPr>
            </w:pPr>
            <w:r>
              <w:rPr>
                <w:rFonts w:ascii="Arial" w:cs="Arial" w:eastAsia="Arial" w:hAnsi="Arial"/>
                <w:sz w:val="16"/>
                <w:szCs w:val="16"/>
                <w:color w:val="auto"/>
              </w:rPr>
              <w:t>Title of each class</w:t>
            </w:r>
          </w:p>
        </w:tc>
        <w:tc>
          <w:tcPr>
            <w:tcW w:w="500" w:type="dxa"/>
            <w:vAlign w:val="bottom"/>
          </w:tcPr>
          <w:p>
            <w:pPr>
              <w:spacing w:after="0"/>
              <w:rPr>
                <w:sz w:val="24"/>
                <w:szCs w:val="24"/>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6"/>
                <w:szCs w:val="16"/>
                <w:color w:val="auto"/>
              </w:rPr>
              <w:t>Trading symbol</w:t>
            </w:r>
          </w:p>
        </w:tc>
        <w:tc>
          <w:tcPr>
            <w:tcW w:w="62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100" w:type="dxa"/>
            <w:vAlign w:val="bottom"/>
            <w:gridSpan w:val="2"/>
          </w:tcPr>
          <w:p>
            <w:pPr>
              <w:ind w:left="860"/>
              <w:spacing w:after="0"/>
              <w:rPr>
                <w:sz w:val="20"/>
                <w:szCs w:val="20"/>
                <w:color w:val="auto"/>
              </w:rPr>
            </w:pPr>
            <w:r>
              <w:rPr>
                <w:rFonts w:ascii="Arial" w:cs="Arial" w:eastAsia="Arial" w:hAnsi="Arial"/>
                <w:sz w:val="16"/>
                <w:szCs w:val="16"/>
                <w:b w:val="1"/>
                <w:bCs w:val="1"/>
                <w:color w:val="auto"/>
              </w:rPr>
              <w:t>Common stock,</w:t>
            </w:r>
          </w:p>
        </w:tc>
        <w:tc>
          <w:tcPr>
            <w:tcW w:w="2400" w:type="dxa"/>
            <w:vAlign w:val="bottom"/>
            <w:gridSpan w:val="2"/>
          </w:tcPr>
          <w:p>
            <w:pPr>
              <w:ind w:left="500"/>
              <w:spacing w:after="0"/>
              <w:rPr>
                <w:sz w:val="20"/>
                <w:szCs w:val="20"/>
                <w:color w:val="auto"/>
              </w:rPr>
            </w:pPr>
            <w:r>
              <w:rPr>
                <w:rFonts w:ascii="Arial" w:cs="Arial" w:eastAsia="Arial" w:hAnsi="Arial"/>
                <w:sz w:val="16"/>
                <w:szCs w:val="16"/>
                <w:b w:val="1"/>
                <w:bCs w:val="1"/>
                <w:color w:val="auto"/>
              </w:rPr>
              <w:t>par value $.01</w:t>
            </w:r>
          </w:p>
        </w:tc>
        <w:tc>
          <w:tcPr>
            <w:tcW w:w="500" w:type="dxa"/>
            <w:vAlign w:val="bottom"/>
          </w:tcPr>
          <w:p>
            <w:pPr>
              <w:spacing w:after="0"/>
              <w:rPr>
                <w:sz w:val="21"/>
                <w:szCs w:val="21"/>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8"/>
              </w:rPr>
              <w:t>ROST</w:t>
            </w:r>
          </w:p>
        </w:tc>
        <w:tc>
          <w:tcPr>
            <w:tcW w:w="620" w:type="dxa"/>
            <w:vAlign w:val="bottom"/>
          </w:tcPr>
          <w:p>
            <w:pPr>
              <w:spacing w:after="0"/>
              <w:rPr>
                <w:sz w:val="21"/>
                <w:szCs w:val="21"/>
                <w:color w:val="auto"/>
              </w:rPr>
            </w:pPr>
          </w:p>
        </w:tc>
        <w:tc>
          <w:tcPr>
            <w:tcW w:w="3200" w:type="dxa"/>
            <w:vAlign w:val="bottom"/>
          </w:tcPr>
          <w:p>
            <w:pPr>
              <w:jc w:val="center"/>
              <w:spacing w:after="0"/>
              <w:rPr>
                <w:sz w:val="20"/>
                <w:szCs w:val="20"/>
                <w:color w:val="auto"/>
              </w:rPr>
            </w:pPr>
            <w:r>
              <w:rPr>
                <w:rFonts w:ascii="Arial" w:cs="Arial" w:eastAsia="Arial" w:hAnsi="Arial"/>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321"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3" w:lineRule="exact"/>
        <w:rPr>
          <w:sz w:val="24"/>
          <w:szCs w:val="24"/>
          <w:color w:val="auto"/>
        </w:rPr>
      </w:pPr>
    </w:p>
    <w:p>
      <w:pPr>
        <w:ind w:right="220"/>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 w:lineRule="exact"/>
        <w:rPr>
          <w:sz w:val="24"/>
          <w:szCs w:val="24"/>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p>
      <w:pPr>
        <w:ind w:right="4060"/>
        <w:spacing w:after="0" w:line="26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o Non-accelerated filer o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206" w:lineRule="exact"/>
        <w:rPr>
          <w:sz w:val="24"/>
          <w:szCs w:val="24"/>
          <w:color w:val="auto"/>
        </w:rPr>
      </w:pPr>
    </w:p>
    <w:p>
      <w:pPr>
        <w:jc w:val="both"/>
        <w:ind w:right="20"/>
        <w:spacing w:after="0" w:line="27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3"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with $.01 par value, outstanding on August 11, 2023 was 338,632,172.</w:t>
      </w:r>
    </w:p>
    <w:p>
      <w:pPr>
        <w:spacing w:after="0" w:line="200" w:lineRule="exact"/>
        <w:rPr>
          <w:sz w:val="24"/>
          <w:szCs w:val="24"/>
          <w:color w:val="auto"/>
        </w:rPr>
      </w:pP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Ross Stores,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75"/>
        </w:trPr>
        <w:tc>
          <w:tcPr>
            <w:tcW w:w="10600" w:type="dxa"/>
            <w:vAlign w:val="bottom"/>
            <w:gridSpan w:val="18"/>
          </w:tcPr>
          <w:p>
            <w:pPr>
              <w:spacing w:after="0" w:line="175" w:lineRule="exact"/>
              <w:rPr>
                <w:sz w:val="20"/>
                <w:szCs w:val="20"/>
                <w:color w:val="auto"/>
              </w:rPr>
            </w:pPr>
            <w:r>
              <w:rPr>
                <w:rFonts w:ascii="Arial" w:cs="Arial" w:eastAsia="Arial" w:hAnsi="Arial"/>
                <w:sz w:val="18"/>
                <w:szCs w:val="18"/>
                <w:color w:val="0000FF"/>
              </w:rPr>
              <w:t>PART I. FINANCIAL INFORMATION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1.</w:t>
            </w:r>
          </w:p>
        </w:tc>
        <w:tc>
          <w:tcPr>
            <w:tcW w:w="9740" w:type="dxa"/>
            <w:vAlign w:val="bottom"/>
            <w:gridSpan w:val="17"/>
          </w:tcPr>
          <w:p>
            <w:pPr>
              <w:ind w:left="20"/>
              <w:spacing w:after="0"/>
              <w:rPr>
                <w:sz w:val="20"/>
                <w:szCs w:val="20"/>
                <w:color w:val="auto"/>
              </w:rPr>
            </w:pPr>
            <w:r>
              <w:rPr>
                <w:rFonts w:ascii="Arial" w:cs="Arial" w:eastAsia="Arial" w:hAnsi="Arial"/>
                <w:sz w:val="16"/>
                <w:szCs w:val="16"/>
                <w:color w:val="0000FF"/>
              </w:rPr>
              <w:t>Financial Statements (unaudited)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0000FF"/>
              </w:rPr>
              <w:t>3</w:t>
            </w: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860" w:type="dxa"/>
            <w:vAlign w:val="bottom"/>
          </w:tcPr>
          <w:p>
            <w:pPr>
              <w:spacing w:after="0"/>
              <w:rPr>
                <w:sz w:val="24"/>
                <w:szCs w:val="24"/>
                <w:color w:val="auto"/>
              </w:rPr>
            </w:pPr>
          </w:p>
        </w:tc>
        <w:tc>
          <w:tcPr>
            <w:tcW w:w="3560" w:type="dxa"/>
            <w:vAlign w:val="bottom"/>
            <w:tcBorders>
              <w:bottom w:val="single" w:sz="8" w:color="0000FF"/>
            </w:tcBorders>
            <w:gridSpan w:val="9"/>
          </w:tcPr>
          <w:p>
            <w:pPr>
              <w:ind w:left="20"/>
              <w:spacing w:after="0"/>
              <w:rPr>
                <w:sz w:val="20"/>
                <w:szCs w:val="20"/>
                <w:color w:val="auto"/>
              </w:rPr>
            </w:pPr>
            <w:r>
              <w:rPr>
                <w:rFonts w:ascii="Arial" w:cs="Arial" w:eastAsia="Arial" w:hAnsi="Arial"/>
                <w:sz w:val="16"/>
                <w:szCs w:val="16"/>
                <w:color w:val="0000FF"/>
              </w:rPr>
              <w:t>Condensed Consolidated Statements of Earnings</w:t>
            </w:r>
          </w:p>
        </w:tc>
        <w:tc>
          <w:tcPr>
            <w:tcW w:w="6180" w:type="dxa"/>
            <w:vAlign w:val="bottom"/>
            <w:gridSpan w:val="8"/>
          </w:tcPr>
          <w:p>
            <w:pPr>
              <w:spacing w:after="0"/>
              <w:rPr>
                <w:sz w:val="24"/>
                <w:szCs w:val="24"/>
                <w:color w:val="auto"/>
              </w:rPr>
            </w:pPr>
          </w:p>
        </w:tc>
        <w:tc>
          <w:tcPr>
            <w:tcW w:w="260" w:type="dxa"/>
            <w:vAlign w:val="bottom"/>
            <w:vMerge w:val="continue"/>
          </w:tcPr>
          <w:p>
            <w:pPr>
              <w:spacing w:after="0"/>
              <w:rPr>
                <w:sz w:val="24"/>
                <w:szCs w:val="24"/>
                <w:color w:val="auto"/>
              </w:rPr>
            </w:pPr>
          </w:p>
        </w:tc>
        <w:tc>
          <w:tcPr>
            <w:tcW w:w="100" w:type="dxa"/>
            <w:vAlign w:val="bottom"/>
            <w:tcBorders>
              <w:bottom w:val="single" w:sz="8" w:color="0000FF"/>
            </w:tcBorders>
            <w:vMerge w:val="continue"/>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4"/>
                <w:szCs w:val="24"/>
                <w:color w:val="auto"/>
              </w:rPr>
            </w:pPr>
          </w:p>
        </w:tc>
        <w:tc>
          <w:tcPr>
            <w:tcW w:w="9740" w:type="dxa"/>
            <w:vAlign w:val="bottom"/>
            <w:gridSpan w:val="17"/>
          </w:tcPr>
          <w:p>
            <w:pPr>
              <w:ind w:left="20"/>
              <w:spacing w:after="0"/>
              <w:rPr>
                <w:sz w:val="20"/>
                <w:szCs w:val="20"/>
                <w:color w:val="auto"/>
              </w:rPr>
            </w:pPr>
            <w:r>
              <w:rPr>
                <w:rFonts w:ascii="Arial" w:cs="Arial" w:eastAsia="Arial" w:hAnsi="Arial"/>
                <w:sz w:val="16"/>
                <w:szCs w:val="16"/>
                <w:color w:val="0000FF"/>
              </w:rPr>
              <w:t>Condensed Consolidated Statements of Comprehensive Income</w:t>
            </w:r>
          </w:p>
        </w:tc>
        <w:tc>
          <w:tcPr>
            <w:tcW w:w="360" w:type="dxa"/>
            <w:vAlign w:val="bottom"/>
            <w:gridSpan w:val="2"/>
          </w:tcPr>
          <w:p>
            <w:pPr>
              <w:jc w:val="center"/>
              <w:ind w:left="179"/>
              <w:spacing w:after="0"/>
              <w:rPr>
                <w:sz w:val="20"/>
                <w:szCs w:val="20"/>
                <w:color w:val="auto"/>
              </w:rPr>
            </w:pPr>
            <w:r>
              <w:rPr>
                <w:rFonts w:ascii="Arial" w:cs="Arial" w:eastAsia="Arial" w:hAnsi="Arial"/>
                <w:sz w:val="16"/>
                <w:szCs w:val="16"/>
                <w:color w:val="0000FF"/>
              </w:rPr>
              <w:t>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4620" w:type="dxa"/>
            <w:vAlign w:val="bottom"/>
            <w:tcBorders>
              <w:top w:val="single" w:sz="8" w:color="0000FF"/>
            </w:tcBorders>
            <w:gridSpan w:val="15"/>
          </w:tcPr>
          <w:p>
            <w:pPr>
              <w:ind w:left="20"/>
              <w:spacing w:after="0"/>
              <w:rPr>
                <w:sz w:val="20"/>
                <w:szCs w:val="20"/>
                <w:color w:val="auto"/>
              </w:rPr>
            </w:pPr>
            <w:r>
              <w:rPr>
                <w:rFonts w:ascii="Arial" w:cs="Arial" w:eastAsia="Arial" w:hAnsi="Arial"/>
                <w:sz w:val="16"/>
                <w:szCs w:val="16"/>
                <w:color w:val="0000FF"/>
              </w:rPr>
              <w:t>Condensed Consolidated Balance Sheets</w:t>
            </w:r>
          </w:p>
        </w:tc>
        <w:tc>
          <w:tcPr>
            <w:tcW w:w="51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6"/>
                <w:szCs w:val="16"/>
                <w:color w:val="0000FF"/>
              </w:rPr>
              <w:t>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740" w:type="dxa"/>
            <w:vAlign w:val="bottom"/>
            <w:gridSpan w:val="17"/>
          </w:tcPr>
          <w:p>
            <w:pPr>
              <w:ind w:left="20"/>
              <w:spacing w:after="0"/>
              <w:rPr>
                <w:sz w:val="20"/>
                <w:szCs w:val="20"/>
                <w:color w:val="auto"/>
              </w:rPr>
            </w:pPr>
            <w:r>
              <w:rPr>
                <w:rFonts w:ascii="Arial" w:cs="Arial" w:eastAsia="Arial" w:hAnsi="Arial"/>
                <w:sz w:val="16"/>
                <w:szCs w:val="16"/>
                <w:color w:val="0000FF"/>
              </w:rPr>
              <w:t>Condensed Consolidated Statements of Stockholders’ Equity</w:t>
            </w:r>
          </w:p>
        </w:tc>
        <w:tc>
          <w:tcPr>
            <w:tcW w:w="360" w:type="dxa"/>
            <w:vAlign w:val="bottom"/>
            <w:gridSpan w:val="2"/>
          </w:tcPr>
          <w:p>
            <w:pPr>
              <w:jc w:val="center"/>
              <w:ind w:left="179"/>
              <w:spacing w:after="0"/>
              <w:rPr>
                <w:sz w:val="20"/>
                <w:szCs w:val="20"/>
                <w:color w:val="auto"/>
              </w:rPr>
            </w:pPr>
            <w:r>
              <w:rPr>
                <w:rFonts w:ascii="Arial" w:cs="Arial" w:eastAsia="Arial" w:hAnsi="Arial"/>
                <w:sz w:val="16"/>
                <w:szCs w:val="16"/>
                <w:color w:val="0000FF"/>
              </w:rPr>
              <w:t>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4380" w:type="dxa"/>
            <w:vAlign w:val="bottom"/>
            <w:tcBorders>
              <w:top w:val="single" w:sz="8" w:color="0000FF"/>
            </w:tcBorders>
            <w:gridSpan w:val="14"/>
          </w:tcPr>
          <w:p>
            <w:pPr>
              <w:ind w:left="20"/>
              <w:spacing w:after="0"/>
              <w:rPr>
                <w:sz w:val="20"/>
                <w:szCs w:val="20"/>
                <w:color w:val="auto"/>
              </w:rPr>
            </w:pPr>
            <w:r>
              <w:rPr>
                <w:rFonts w:ascii="Arial" w:cs="Arial" w:eastAsia="Arial" w:hAnsi="Arial"/>
                <w:sz w:val="16"/>
                <w:szCs w:val="16"/>
                <w:color w:val="0000FF"/>
              </w:rPr>
              <w:t>Condensed Consolidated Statements of Cash Flows</w:t>
            </w:r>
          </w:p>
        </w:tc>
        <w:tc>
          <w:tcPr>
            <w:tcW w:w="5360" w:type="dxa"/>
            <w:vAlign w:val="bottom"/>
            <w:gridSpan w:val="3"/>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6"/>
                <w:szCs w:val="16"/>
                <w:color w:val="0000FF"/>
              </w:rPr>
              <w:t>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4040" w:type="dxa"/>
            <w:vAlign w:val="bottom"/>
            <w:tcBorders>
              <w:bottom w:val="single" w:sz="8" w:color="0000FF"/>
            </w:tcBorders>
            <w:gridSpan w:val="11"/>
          </w:tcPr>
          <w:p>
            <w:pPr>
              <w:ind w:left="20"/>
              <w:spacing w:after="0"/>
              <w:rPr>
                <w:sz w:val="20"/>
                <w:szCs w:val="20"/>
                <w:color w:val="auto"/>
              </w:rPr>
            </w:pPr>
            <w:r>
              <w:rPr>
                <w:rFonts w:ascii="Arial" w:cs="Arial" w:eastAsia="Arial" w:hAnsi="Arial"/>
                <w:sz w:val="16"/>
                <w:szCs w:val="16"/>
                <w:color w:val="0000FF"/>
              </w:rPr>
              <w:t>Notes to Condensed Consolidated Financial Statements</w:t>
            </w:r>
          </w:p>
        </w:tc>
        <w:tc>
          <w:tcPr>
            <w:tcW w:w="570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8</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4160" w:type="dxa"/>
            <w:vAlign w:val="bottom"/>
            <w:gridSpan w:val="12"/>
          </w:tcPr>
          <w:p>
            <w:pPr>
              <w:ind w:left="20"/>
              <w:spacing w:after="0"/>
              <w:rPr>
                <w:sz w:val="20"/>
                <w:szCs w:val="20"/>
                <w:color w:val="auto"/>
              </w:rPr>
            </w:pPr>
            <w:r>
              <w:rPr>
                <w:rFonts w:ascii="Arial" w:cs="Arial" w:eastAsia="Arial" w:hAnsi="Arial"/>
                <w:sz w:val="16"/>
                <w:szCs w:val="16"/>
                <w:color w:val="0000FF"/>
              </w:rPr>
              <w:t>Report of Independent Registered Public Accounting Firm</w:t>
            </w:r>
          </w:p>
        </w:tc>
        <w:tc>
          <w:tcPr>
            <w:tcW w:w="5580" w:type="dxa"/>
            <w:vAlign w:val="bottom"/>
            <w:gridSpan w:val="5"/>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15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2.</w:t>
            </w:r>
          </w:p>
        </w:tc>
        <w:tc>
          <w:tcPr>
            <w:tcW w:w="9740" w:type="dxa"/>
            <w:vAlign w:val="bottom"/>
            <w:gridSpan w:val="17"/>
          </w:tcPr>
          <w:p>
            <w:pPr>
              <w:ind w:left="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16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13"/>
          </w:tcPr>
          <w:p>
            <w:pPr>
              <w:ind w:left="20"/>
              <w:spacing w:after="0"/>
              <w:rPr>
                <w:sz w:val="20"/>
                <w:szCs w:val="20"/>
                <w:color w:val="auto"/>
              </w:rPr>
            </w:pPr>
            <w:r>
              <w:rPr>
                <w:rFonts w:ascii="Arial" w:cs="Arial" w:eastAsia="Arial" w:hAnsi="Arial"/>
                <w:sz w:val="16"/>
                <w:szCs w:val="16"/>
                <w:color w:val="0000FF"/>
              </w:rPr>
              <w:t>Quantitative and Qualitative Disclosures about Market Risk</w:t>
            </w:r>
          </w:p>
        </w:tc>
        <w:tc>
          <w:tcPr>
            <w:tcW w:w="2140" w:type="dxa"/>
            <w:vAlign w:val="bottom"/>
            <w:gridSpan w:val="3"/>
          </w:tcPr>
          <w:p>
            <w:pPr>
              <w:spacing w:after="0"/>
              <w:rPr>
                <w:sz w:val="24"/>
                <w:szCs w:val="24"/>
                <w:color w:val="auto"/>
              </w:rPr>
            </w:pPr>
          </w:p>
        </w:tc>
        <w:tc>
          <w:tcPr>
            <w:tcW w:w="3360" w:type="dxa"/>
            <w:vAlign w:val="bottom"/>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13"/>
          </w:tcPr>
          <w:p>
            <w:pPr>
              <w:ind w:left="20"/>
              <w:spacing w:after="0"/>
              <w:rPr>
                <w:sz w:val="20"/>
                <w:szCs w:val="20"/>
                <w:color w:val="auto"/>
              </w:rPr>
            </w:pPr>
            <w:r>
              <w:rPr>
                <w:rFonts w:ascii="Arial" w:cs="Arial" w:eastAsia="Arial" w:hAnsi="Arial"/>
                <w:sz w:val="16"/>
                <w:szCs w:val="16"/>
                <w:color w:val="0000FF"/>
              </w:rPr>
              <w:t>Controls and Procedures</w:t>
            </w:r>
          </w:p>
        </w:tc>
        <w:tc>
          <w:tcPr>
            <w:tcW w:w="5500" w:type="dxa"/>
            <w:vAlign w:val="bottom"/>
            <w:gridSpan w:val="4"/>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600" w:type="dxa"/>
            <w:vAlign w:val="bottom"/>
            <w:gridSpan w:val="18"/>
          </w:tcPr>
          <w:p>
            <w:pPr>
              <w:spacing w:after="0"/>
              <w:rPr>
                <w:sz w:val="20"/>
                <w:szCs w:val="20"/>
                <w:color w:val="auto"/>
              </w:rPr>
            </w:pPr>
            <w:r>
              <w:rPr>
                <w:rFonts w:ascii="Arial" w:cs="Arial" w:eastAsia="Arial" w:hAnsi="Arial"/>
                <w:sz w:val="18"/>
                <w:szCs w:val="18"/>
                <w:color w:val="0000FF"/>
              </w:rPr>
              <w:t>PART II. OTHER INFORMATION</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6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Item 1.</w:t>
            </w:r>
          </w:p>
        </w:tc>
        <w:tc>
          <w:tcPr>
            <w:tcW w:w="1360" w:type="dxa"/>
            <w:vAlign w:val="bottom"/>
            <w:tcBorders>
              <w:top w:val="single" w:sz="8" w:color="0000FF"/>
            </w:tcBorders>
            <w:gridSpan w:val="4"/>
          </w:tcPr>
          <w:p>
            <w:pPr>
              <w:ind w:left="20"/>
              <w:spacing w:after="0"/>
              <w:rPr>
                <w:sz w:val="20"/>
                <w:szCs w:val="20"/>
                <w:color w:val="auto"/>
              </w:rPr>
            </w:pPr>
            <w:r>
              <w:rPr>
                <w:rFonts w:ascii="Arial" w:cs="Arial" w:eastAsia="Arial" w:hAnsi="Arial"/>
                <w:sz w:val="16"/>
                <w:szCs w:val="16"/>
                <w:color w:val="0000FF"/>
                <w:w w:val="99"/>
              </w:rPr>
              <w:t>Legal Proceedings</w:t>
            </w:r>
          </w:p>
        </w:tc>
        <w:tc>
          <w:tcPr>
            <w:tcW w:w="440" w:type="dxa"/>
            <w:vAlign w:val="bottom"/>
            <w:tcBorders>
              <w:top w:val="single" w:sz="8" w:color="0000FF"/>
            </w:tcBorders>
          </w:tcPr>
          <w:p>
            <w:pPr>
              <w:spacing w:after="0"/>
              <w:rPr>
                <w:sz w:val="24"/>
                <w:szCs w:val="24"/>
                <w:color w:val="auto"/>
              </w:rPr>
            </w:pPr>
          </w:p>
        </w:tc>
        <w:tc>
          <w:tcPr>
            <w:tcW w:w="7940" w:type="dxa"/>
            <w:vAlign w:val="bottom"/>
            <w:gridSpan w:val="12"/>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1A.</w:t>
            </w:r>
          </w:p>
        </w:tc>
        <w:tc>
          <w:tcPr>
            <w:tcW w:w="920" w:type="dxa"/>
            <w:vAlign w:val="bottom"/>
            <w:gridSpan w:val="3"/>
          </w:tcPr>
          <w:p>
            <w:pPr>
              <w:ind w:left="20"/>
              <w:spacing w:after="0"/>
              <w:rPr>
                <w:sz w:val="20"/>
                <w:szCs w:val="20"/>
                <w:color w:val="auto"/>
              </w:rPr>
            </w:pPr>
            <w:r>
              <w:rPr>
                <w:rFonts w:ascii="Arial" w:cs="Arial" w:eastAsia="Arial" w:hAnsi="Arial"/>
                <w:sz w:val="16"/>
                <w:szCs w:val="16"/>
                <w:color w:val="0000FF"/>
                <w:w w:val="98"/>
              </w:rPr>
              <w:t>Risk Factors</w:t>
            </w:r>
          </w:p>
        </w:tc>
        <w:tc>
          <w:tcPr>
            <w:tcW w:w="440" w:type="dxa"/>
            <w:vAlign w:val="bottom"/>
          </w:tcPr>
          <w:p>
            <w:pPr>
              <w:spacing w:after="0"/>
              <w:rPr>
                <w:sz w:val="24"/>
                <w:szCs w:val="24"/>
                <w:color w:val="auto"/>
              </w:rPr>
            </w:pPr>
          </w:p>
        </w:tc>
        <w:tc>
          <w:tcPr>
            <w:tcW w:w="8380" w:type="dxa"/>
            <w:vAlign w:val="bottom"/>
            <w:gridSpan w:val="13"/>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gridSpan w:val="14"/>
          </w:tcPr>
          <w:p>
            <w:pPr>
              <w:ind w:left="20"/>
              <w:spacing w:after="0"/>
              <w:rPr>
                <w:sz w:val="20"/>
                <w:szCs w:val="20"/>
                <w:color w:val="auto"/>
              </w:rPr>
            </w:pPr>
            <w:r>
              <w:rPr>
                <w:rFonts w:ascii="Arial" w:cs="Arial" w:eastAsia="Arial" w:hAnsi="Arial"/>
                <w:sz w:val="16"/>
                <w:szCs w:val="16"/>
                <w:color w:val="0000FF"/>
              </w:rPr>
              <w:t>Unregistered Sales of Equity Securities and Use of Proceeds</w:t>
            </w:r>
          </w:p>
        </w:tc>
        <w:tc>
          <w:tcPr>
            <w:tcW w:w="5360" w:type="dxa"/>
            <w:vAlign w:val="bottom"/>
            <w:gridSpan w:val="3"/>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Pr>
          <w:p>
            <w:pPr>
              <w:ind w:left="20"/>
              <w:spacing w:after="0"/>
              <w:rPr>
                <w:sz w:val="20"/>
                <w:szCs w:val="20"/>
                <w:color w:val="auto"/>
              </w:rPr>
            </w:pPr>
            <w:r>
              <w:rPr>
                <w:rFonts w:ascii="Arial" w:cs="Arial" w:eastAsia="Arial" w:hAnsi="Arial"/>
                <w:sz w:val="16"/>
                <w:szCs w:val="16"/>
                <w:color w:val="0000FF"/>
                <w:w w:val="96"/>
              </w:rPr>
              <w:t>Exhibits</w:t>
            </w:r>
          </w:p>
        </w:tc>
        <w:tc>
          <w:tcPr>
            <w:tcW w:w="3800" w:type="dxa"/>
            <w:vAlign w:val="bottom"/>
            <w:gridSpan w:val="13"/>
          </w:tcPr>
          <w:p>
            <w:pPr>
              <w:spacing w:after="0"/>
              <w:rPr>
                <w:sz w:val="24"/>
                <w:szCs w:val="24"/>
                <w:color w:val="auto"/>
              </w:rPr>
            </w:pPr>
          </w:p>
        </w:tc>
        <w:tc>
          <w:tcPr>
            <w:tcW w:w="5360" w:type="dxa"/>
            <w:vAlign w:val="bottom"/>
            <w:gridSpan w:val="3"/>
          </w:tcPr>
          <w:p>
            <w:pPr>
              <w:spacing w:after="0"/>
              <w:rPr>
                <w:sz w:val="24"/>
                <w:szCs w:val="24"/>
                <w:color w:val="auto"/>
              </w:rPr>
            </w:pP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960" w:type="dxa"/>
            <w:vAlign w:val="bottom"/>
            <w:gridSpan w:val="15"/>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740" w:type="dxa"/>
            <w:vAlign w:val="bottom"/>
            <w:gridSpan w:val="17"/>
          </w:tcPr>
          <w:p>
            <w:pPr>
              <w:ind w:left="20"/>
              <w:spacing w:after="0"/>
              <w:rPr>
                <w:sz w:val="20"/>
                <w:szCs w:val="20"/>
                <w:color w:val="auto"/>
              </w:rPr>
            </w:pPr>
            <w:r>
              <w:rPr>
                <w:rFonts w:ascii="Arial" w:cs="Arial" w:eastAsia="Arial" w:hAnsi="Arial"/>
                <w:sz w:val="16"/>
                <w:szCs w:val="16"/>
                <w:color w:val="0000FF"/>
              </w:rPr>
              <w:t>Signatures</w:t>
            </w:r>
          </w:p>
        </w:tc>
        <w:tc>
          <w:tcPr>
            <w:tcW w:w="620" w:type="dxa"/>
            <w:vAlign w:val="bottom"/>
            <w:gridSpan w:val="3"/>
          </w:tcPr>
          <w:p>
            <w:pPr>
              <w:jc w:val="center"/>
              <w:spacing w:after="0"/>
              <w:rPr>
                <w:sz w:val="20"/>
                <w:szCs w:val="20"/>
                <w:color w:val="auto"/>
              </w:rPr>
            </w:pPr>
            <w:r>
              <w:rPr>
                <w:rFonts w:ascii="Arial" w:cs="Arial" w:eastAsia="Arial" w:hAnsi="Arial"/>
                <w:sz w:val="16"/>
                <w:szCs w:val="16"/>
                <w:color w:val="0000FF"/>
              </w:rPr>
              <w:t>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308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3100" w:type="dxa"/>
            <w:vAlign w:val="bottom"/>
            <w:tcBorders>
              <w:top w:val="single" w:sz="8" w:color="auto"/>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stores and per share data, unaudited)</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July 30, 2022</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4,934,905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9,429,591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8,916,109</w:t>
            </w:r>
          </w:p>
        </w:tc>
      </w:tr>
      <w:tr>
        <w:trPr>
          <w:trHeight w:val="270"/>
        </w:trPr>
        <w:tc>
          <w:tcPr>
            <w:tcW w:w="4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3,569,367</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3,399,535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6,861,973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6,595,981</w:t>
            </w: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807,898</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1,554,120</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1,336,559</w:t>
            </w:r>
          </w:p>
        </w:tc>
      </w:tr>
      <w:tr>
        <w:trPr>
          <w:trHeight w:val="230"/>
        </w:trPr>
        <w:tc>
          <w:tcPr>
            <w:tcW w:w="43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Interest (income) expense, net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(37,214)</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(68,611)</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28,363</w:t>
            </w:r>
          </w:p>
        </w:tc>
      </w:tr>
      <w:tr>
        <w:trPr>
          <w:trHeight w:val="230"/>
        </w:trPr>
        <w:tc>
          <w:tcPr>
            <w:tcW w:w="43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4,340,051</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4,077,265</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8,347,482</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7,960,903</w:t>
            </w:r>
          </w:p>
        </w:tc>
      </w:tr>
      <w:tr>
        <w:trPr>
          <w:trHeight w:val="256"/>
        </w:trPr>
        <w:tc>
          <w:tcPr>
            <w:tcW w:w="4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594,854</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1,082,109</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955,206</w:t>
            </w:r>
          </w:p>
        </w:tc>
      </w:tr>
      <w:tr>
        <w:trPr>
          <w:trHeight w:val="229"/>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taxes on earnings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148,535</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121,227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264,599</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232,244</w:t>
            </w:r>
          </w:p>
        </w:tc>
      </w:tr>
      <w:tr>
        <w:trPr>
          <w:trHeight w:val="230"/>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446,319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384,517</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817,510</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722,962</w:t>
            </w:r>
          </w:p>
        </w:tc>
      </w:tr>
      <w:tr>
        <w:trPr>
          <w:trHeight w:val="257"/>
        </w:trPr>
        <w:tc>
          <w:tcPr>
            <w:tcW w:w="4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1.33</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2.42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70"/>
        </w:trPr>
        <w:tc>
          <w:tcPr>
            <w:tcW w:w="43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50"/>
        </w:trPr>
        <w:tc>
          <w:tcPr>
            <w:tcW w:w="4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(000)</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336,231</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337,140</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345,969</w:t>
            </w:r>
          </w:p>
        </w:tc>
      </w:tr>
      <w:tr>
        <w:trPr>
          <w:trHeight w:val="229"/>
        </w:trPr>
        <w:tc>
          <w:tcPr>
            <w:tcW w:w="43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337,932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346,106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339,003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347,470</w:t>
            </w:r>
          </w:p>
        </w:tc>
      </w:tr>
      <w:tr>
        <w:trPr>
          <w:trHeight w:val="270"/>
        </w:trPr>
        <w:tc>
          <w:tcPr>
            <w:tcW w:w="43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80" w:type="dxa"/>
            <w:vAlign w:val="bottom"/>
            <w:tcBorders>
              <w:top w:val="single" w:sz="8" w:color="auto"/>
              <w:bottom w:val="single" w:sz="8" w:color="auto"/>
            </w:tcBorders>
          </w:tcPr>
          <w:p>
            <w:pPr>
              <w:spacing w:after="0"/>
              <w:rPr>
                <w:sz w:val="20"/>
                <w:szCs w:val="20"/>
                <w:color w:val="auto"/>
              </w:rPr>
            </w:pPr>
          </w:p>
        </w:tc>
      </w:tr>
      <w:tr>
        <w:trPr>
          <w:trHeight w:val="223"/>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unaudited)</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July 30, 2022</w:t>
            </w: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July 30, 2022</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446,319</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817,510</w:t>
            </w:r>
          </w:p>
        </w:tc>
        <w:tc>
          <w:tcPr>
            <w:tcW w:w="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722,962</w:t>
            </w:r>
          </w:p>
        </w:tc>
      </w:tr>
      <w:tr>
        <w:trPr>
          <w:trHeight w:val="270"/>
        </w:trPr>
        <w:tc>
          <w:tcPr>
            <w:tcW w:w="3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29"/>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446,319</w:t>
            </w:r>
          </w:p>
        </w:tc>
        <w:tc>
          <w:tcPr>
            <w:tcW w:w="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384,517</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817,510</w:t>
            </w:r>
          </w:p>
        </w:tc>
        <w:tc>
          <w:tcPr>
            <w:tcW w:w="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722,962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 except share data, unaudited)</w:t>
            </w:r>
          </w:p>
        </w:tc>
        <w:tc>
          <w:tcPr>
            <w:tcW w:w="10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0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January 28, 2023</w:t>
            </w:r>
          </w:p>
        </w:tc>
        <w:tc>
          <w:tcPr>
            <w:tcW w:w="46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4,583,606</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4,551,876</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3,903,670</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175,410</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145,694</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167,503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inventory</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2,300,063</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2,023,495</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2,716,878</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Prepaid expenses and other</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214,673</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183,654</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197,020</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7,273,752</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6,904,719</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6,985,071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Land and buildings</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1,490,681</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1,495,006</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1,486,450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 and equipment</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4,027,874</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3,961,733</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3,759,071</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1,463,585</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1,433,647</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1,366,999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Construction-in-progress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518,405</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319,319</w:t>
            </w: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158,446</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7,500,545</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7,209,705</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6,770,966</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4,189,940</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4,028,178</w:t>
            </w: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3,841,192</w:t>
            </w:r>
          </w:p>
        </w:tc>
        <w:tc>
          <w:tcPr>
            <w:tcW w:w="0" w:type="dxa"/>
            <w:vAlign w:val="bottom"/>
          </w:tcPr>
          <w:p>
            <w:pPr>
              <w:spacing w:after="0"/>
              <w:rPr>
                <w:sz w:val="1"/>
                <w:szCs w:val="1"/>
                <w:color w:val="auto"/>
              </w:rPr>
            </w:pPr>
          </w:p>
        </w:tc>
      </w:tr>
      <w:tr>
        <w:trPr>
          <w:trHeight w:val="223"/>
        </w:trPr>
        <w:tc>
          <w:tcPr>
            <w:tcW w:w="5060" w:type="dxa"/>
            <w:vAlign w:val="bottom"/>
          </w:tcPr>
          <w:p>
            <w:pPr>
              <w:ind w:left="480"/>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3,310,605</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3,181,527</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2,929,774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3,164,685</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3,098,134</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3,025,814</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238,260</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232,083</w:t>
            </w: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239,263</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13,987,302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13,416,463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13,179,922</w:t>
            </w:r>
          </w:p>
        </w:tc>
        <w:tc>
          <w:tcPr>
            <w:tcW w:w="0" w:type="dxa"/>
            <w:vAlign w:val="bottom"/>
          </w:tcPr>
          <w:p>
            <w:pPr>
              <w:spacing w:after="0"/>
              <w:rPr>
                <w:sz w:val="1"/>
                <w:szCs w:val="1"/>
                <w:color w:val="auto"/>
              </w:rPr>
            </w:pPr>
          </w:p>
        </w:tc>
      </w:tr>
      <w:tr>
        <w:trPr>
          <w:trHeight w:val="203"/>
        </w:trPr>
        <w:tc>
          <w:tcPr>
            <w:tcW w:w="50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2,150,999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2,009,924</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2,085,680</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689,866</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638,561</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611,186</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668,028</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655,976</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647,504</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payroll and benefits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435,300</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279,710</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300,611</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taxes payable</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25,449</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52,075</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3,969,642</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3,636,246</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3,644,981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2,458,615</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2,456,510</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2,454,413</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2,653,632</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2,593,961</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2,525,512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231,945</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224,104</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231,285</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218,726</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217,059</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196,780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 par value $.01 per share</w:t>
            </w:r>
          </w:p>
        </w:tc>
        <w:tc>
          <w:tcPr>
            <w:tcW w:w="10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380"/>
              <w:spacing w:after="0" w:line="189" w:lineRule="exact"/>
              <w:rPr>
                <w:sz w:val="20"/>
                <w:szCs w:val="20"/>
                <w:color w:val="auto"/>
              </w:rPr>
            </w:pPr>
            <w:r>
              <w:rPr>
                <w:rFonts w:ascii="Arial" w:cs="Arial" w:eastAsia="Arial" w:hAnsi="Arial"/>
                <w:sz w:val="18"/>
                <w:szCs w:val="18"/>
                <w:color w:val="auto"/>
              </w:rPr>
              <w:t>Authorized 1,000,000,000 shares</w:t>
            </w:r>
          </w:p>
        </w:tc>
        <w:tc>
          <w:tcPr>
            <w:tcW w:w="10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Issued and outstanding 338,982,000, 342,753,000</w:t>
            </w:r>
          </w:p>
        </w:tc>
        <w:tc>
          <w:tcPr>
            <w:tcW w:w="10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3,390</w:t>
            </w:r>
          </w:p>
        </w:tc>
        <w:tc>
          <w:tcPr>
            <w:tcW w:w="30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3,428</w:t>
            </w:r>
          </w:p>
        </w:tc>
        <w:tc>
          <w:tcPr>
            <w:tcW w:w="4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347,552,000 shares, respectively</w:t>
            </w:r>
          </w:p>
        </w:tc>
        <w:tc>
          <w:tcPr>
            <w:tcW w:w="10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0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1,885,406</w:t>
            </w:r>
          </w:p>
        </w:tc>
        <w:tc>
          <w:tcPr>
            <w:tcW w:w="30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1,820,249</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1,769,424</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w:t>
            </w:r>
          </w:p>
        </w:tc>
        <w:tc>
          <w:tcPr>
            <w:tcW w:w="10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(623,185)</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(584,750)</w:t>
            </w:r>
          </w:p>
        </w:tc>
        <w:tc>
          <w:tcPr>
            <w:tcW w:w="4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(574,529)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1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3,189,131</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3,049,656</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2,928,581</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0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4,454,742</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4,288,583</w:t>
            </w:r>
          </w:p>
        </w:tc>
        <w:tc>
          <w:tcPr>
            <w:tcW w:w="4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4,126,951</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13,987,302</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13,416,463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13,179,922</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July 29, 2023</w:t>
            </w: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700" w:type="dxa"/>
            <w:vAlign w:val="bottom"/>
          </w:tcPr>
          <w:p>
            <w:pPr>
              <w:spacing w:after="0"/>
              <w:rPr>
                <w:sz w:val="24"/>
                <w:szCs w:val="24"/>
                <w:color w:val="auto"/>
              </w:rPr>
            </w:pPr>
          </w:p>
        </w:tc>
        <w:tc>
          <w:tcPr>
            <w:tcW w:w="1780" w:type="dxa"/>
            <w:vAlign w:val="bottom"/>
            <w:gridSpan w:val="3"/>
            <w:vMerge w:val="restart"/>
          </w:tcPr>
          <w:p>
            <w:pPr>
              <w:jc w:val="right"/>
              <w:ind w:right="259"/>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Additional</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8"/>
                <w:szCs w:val="8"/>
                <w:color w:val="auto"/>
              </w:rPr>
            </w:pPr>
          </w:p>
        </w:tc>
        <w:tc>
          <w:tcPr>
            <w:tcW w:w="1780" w:type="dxa"/>
            <w:vAlign w:val="bottom"/>
            <w:tcBorders>
              <w:bottom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center"/>
              <w:ind w:left="299"/>
              <w:spacing w:after="0" w:line="162" w:lineRule="exact"/>
              <w:rPr>
                <w:sz w:val="20"/>
                <w:szCs w:val="20"/>
                <w:color w:val="auto"/>
              </w:rPr>
            </w:pPr>
            <w:r>
              <w:rPr>
                <w:rFonts w:ascii="Arial" w:cs="Arial" w:eastAsia="Arial" w:hAnsi="Arial"/>
                <w:sz w:val="16"/>
                <w:szCs w:val="16"/>
                <w:color w:val="auto"/>
                <w:w w:val="99"/>
              </w:rPr>
              <w:t>paid-in</w:t>
            </w:r>
          </w:p>
        </w:tc>
        <w:tc>
          <w:tcPr>
            <w:tcW w:w="240" w:type="dxa"/>
            <w:vAlign w:val="bottom"/>
          </w:tcPr>
          <w:p>
            <w:pPr>
              <w:spacing w:after="0"/>
              <w:rPr>
                <w:sz w:val="8"/>
                <w:szCs w:val="8"/>
                <w:color w:val="auto"/>
              </w:rPr>
            </w:pPr>
          </w:p>
        </w:tc>
        <w:tc>
          <w:tcPr>
            <w:tcW w:w="86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Treasury</w:t>
            </w:r>
          </w:p>
        </w:tc>
        <w:tc>
          <w:tcPr>
            <w:tcW w:w="360" w:type="dxa"/>
            <w:vAlign w:val="bottom"/>
          </w:tcPr>
          <w:p>
            <w:pPr>
              <w:spacing w:after="0"/>
              <w:rPr>
                <w:sz w:val="8"/>
                <w:szCs w:val="8"/>
                <w:color w:val="auto"/>
              </w:rPr>
            </w:pPr>
          </w:p>
        </w:tc>
        <w:tc>
          <w:tcPr>
            <w:tcW w:w="86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Retained</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4700" w:type="dxa"/>
            <w:vAlign w:val="bottom"/>
            <w:vMerge w:val="restart"/>
          </w:tcPr>
          <w:p>
            <w:pPr>
              <w:ind w:left="20"/>
              <w:spacing w:after="0"/>
              <w:rPr>
                <w:sz w:val="20"/>
                <w:szCs w:val="20"/>
                <w:color w:val="auto"/>
              </w:rPr>
            </w:pPr>
            <w:r>
              <w:rPr>
                <w:rFonts w:ascii="Arial" w:cs="Arial" w:eastAsia="Arial" w:hAnsi="Arial"/>
                <w:sz w:val="16"/>
                <w:szCs w:val="16"/>
                <w:color w:val="auto"/>
              </w:rPr>
              <w:t>(000)</w:t>
            </w: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Shares</w:t>
            </w:r>
          </w:p>
        </w:tc>
        <w:tc>
          <w:tcPr>
            <w:tcW w:w="24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capital</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stock</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earnings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28, 2023</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342,753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1,820,249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(584,750)</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3,049,656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4,288,583</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371,191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371,191</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issued under stock plans, net of shares</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700" w:type="dxa"/>
            <w:vAlign w:val="bottom"/>
          </w:tcPr>
          <w:p>
            <w:pPr>
              <w:ind w:left="220"/>
              <w:spacing w:after="0"/>
              <w:rPr>
                <w:sz w:val="20"/>
                <w:szCs w:val="20"/>
                <w:color w:val="auto"/>
              </w:rPr>
            </w:pPr>
            <w:r>
              <w:rPr>
                <w:rFonts w:ascii="Arial" w:cs="Arial" w:eastAsia="Arial" w:hAnsi="Arial"/>
                <w:sz w:val="17"/>
                <w:szCs w:val="17"/>
                <w:color w:val="auto"/>
              </w:rPr>
              <w:t>used for tax withholding</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6,145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(37,522)</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(31,373)</w:t>
            </w: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33,063</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33,063</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Common stock repurchased, inclusive of excise tax</w:t>
            </w:r>
          </w:p>
        </w:tc>
        <w:tc>
          <w:tcPr>
            <w:tcW w:w="900" w:type="dxa"/>
            <w:vAlign w:val="bottom"/>
          </w:tcPr>
          <w:p>
            <w:pPr>
              <w:jc w:val="right"/>
              <w:spacing w:after="0"/>
              <w:rPr>
                <w:sz w:val="20"/>
                <w:szCs w:val="20"/>
                <w:color w:val="auto"/>
              </w:rPr>
            </w:pPr>
            <w:r>
              <w:rPr>
                <w:rFonts w:ascii="Arial" w:cs="Arial" w:eastAsia="Arial" w:hAnsi="Arial"/>
                <w:sz w:val="16"/>
                <w:szCs w:val="16"/>
                <w:color w:val="auto"/>
              </w:rPr>
              <w:t>(2,169)</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9"/>
                <w:szCs w:val="19"/>
                <w:color w:val="auto"/>
              </w:rPr>
            </w:pPr>
          </w:p>
        </w:tc>
        <w:tc>
          <w:tcPr>
            <w:tcW w:w="1020" w:type="dxa"/>
            <w:vAlign w:val="bottom"/>
          </w:tcPr>
          <w:p>
            <w:pPr>
              <w:jc w:val="center"/>
              <w:ind w:left="239"/>
              <w:spacing w:after="0"/>
              <w:rPr>
                <w:sz w:val="20"/>
                <w:szCs w:val="20"/>
                <w:color w:val="auto"/>
              </w:rPr>
            </w:pPr>
            <w:r>
              <w:rPr>
                <w:rFonts w:ascii="Arial" w:cs="Arial" w:eastAsia="Arial" w:hAnsi="Arial"/>
                <w:sz w:val="16"/>
                <w:szCs w:val="16"/>
                <w:color w:val="auto"/>
                <w:w w:val="98"/>
              </w:rPr>
              <w:t>(9,729)</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(226,523)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(236,274)</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declared ($0.335 per share)</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(114,794)</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(114,794)</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Balance at April 29, 2023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341,045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3,410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1,849,728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(622,272)</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3,079,530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4,310,396</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446,319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446,319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7"/>
                <w:szCs w:val="17"/>
                <w:color w:val="auto"/>
              </w:rPr>
              <w:t>Common stock issued under stock plans, net of shares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used for tax withholding</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6,208</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5,296</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39,429</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39,429</w:t>
            </w: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repurchased, inclusive of excise tax</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center"/>
              <w:ind w:left="239"/>
              <w:spacing w:after="0"/>
              <w:rPr>
                <w:sz w:val="20"/>
                <w:szCs w:val="20"/>
                <w:color w:val="auto"/>
              </w:rPr>
            </w:pPr>
            <w:r>
              <w:rPr>
                <w:rFonts w:ascii="Arial" w:cs="Arial" w:eastAsia="Arial" w:hAnsi="Arial"/>
                <w:sz w:val="16"/>
                <w:szCs w:val="16"/>
                <w:color w:val="auto"/>
                <w:w w:val="98"/>
              </w:rPr>
              <w:t>(9,959)</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(222,713)</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(232,693)</w:t>
            </w:r>
          </w:p>
        </w:tc>
        <w:tc>
          <w:tcPr>
            <w:tcW w:w="0" w:type="dxa"/>
            <w:vAlign w:val="bottom"/>
          </w:tcPr>
          <w:p>
            <w:pPr>
              <w:spacing w:after="0"/>
              <w:rPr>
                <w:sz w:val="1"/>
                <w:szCs w:val="1"/>
                <w:color w:val="auto"/>
              </w:rPr>
            </w:pPr>
          </w:p>
        </w:tc>
      </w:tr>
      <w:tr>
        <w:trPr>
          <w:trHeight w:val="22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($0.335 per share)</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(114,005)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(114,005)</w:t>
            </w:r>
          </w:p>
        </w:tc>
        <w:tc>
          <w:tcPr>
            <w:tcW w:w="0" w:type="dxa"/>
            <w:vAlign w:val="bottom"/>
          </w:tcPr>
          <w:p>
            <w:pPr>
              <w:spacing w:after="0"/>
              <w:rPr>
                <w:sz w:val="1"/>
                <w:szCs w:val="1"/>
                <w:color w:val="auto"/>
              </w:rPr>
            </w:pPr>
          </w:p>
        </w:tc>
      </w:tr>
      <w:tr>
        <w:trPr>
          <w:trHeight w:val="233"/>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July 29, 2023</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338,982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1,885,406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(623,185)</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3,189,131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4,454,742</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July 30, 2022</w:t>
            </w:r>
          </w:p>
        </w:tc>
        <w:tc>
          <w:tcPr>
            <w:tcW w:w="8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700" w:type="dxa"/>
            <w:vAlign w:val="bottom"/>
          </w:tcPr>
          <w:p>
            <w:pPr>
              <w:spacing w:after="0"/>
              <w:rPr>
                <w:sz w:val="24"/>
                <w:szCs w:val="24"/>
                <w:color w:val="auto"/>
              </w:rPr>
            </w:pPr>
          </w:p>
        </w:tc>
        <w:tc>
          <w:tcPr>
            <w:tcW w:w="1780" w:type="dxa"/>
            <w:vAlign w:val="bottom"/>
            <w:gridSpan w:val="3"/>
            <w:vMerge w:val="restart"/>
          </w:tcPr>
          <w:p>
            <w:pPr>
              <w:jc w:val="right"/>
              <w:ind w:right="259"/>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Additional</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8"/>
                <w:szCs w:val="8"/>
                <w:color w:val="auto"/>
              </w:rPr>
            </w:pPr>
          </w:p>
        </w:tc>
        <w:tc>
          <w:tcPr>
            <w:tcW w:w="1780" w:type="dxa"/>
            <w:vAlign w:val="bottom"/>
            <w:tcBorders>
              <w:bottom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paid-in</w:t>
            </w:r>
          </w:p>
        </w:tc>
        <w:tc>
          <w:tcPr>
            <w:tcW w:w="240" w:type="dxa"/>
            <w:vAlign w:val="bottom"/>
          </w:tcPr>
          <w:p>
            <w:pPr>
              <w:spacing w:after="0"/>
              <w:rPr>
                <w:sz w:val="8"/>
                <w:szCs w:val="8"/>
                <w:color w:val="auto"/>
              </w:rPr>
            </w:pPr>
          </w:p>
        </w:tc>
        <w:tc>
          <w:tcPr>
            <w:tcW w:w="86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Treasury</w:t>
            </w:r>
          </w:p>
        </w:tc>
        <w:tc>
          <w:tcPr>
            <w:tcW w:w="360" w:type="dxa"/>
            <w:vAlign w:val="bottom"/>
          </w:tcPr>
          <w:p>
            <w:pPr>
              <w:spacing w:after="0"/>
              <w:rPr>
                <w:sz w:val="8"/>
                <w:szCs w:val="8"/>
                <w:color w:val="auto"/>
              </w:rPr>
            </w:pPr>
          </w:p>
        </w:tc>
        <w:tc>
          <w:tcPr>
            <w:tcW w:w="860" w:type="dxa"/>
            <w:vAlign w:val="bottom"/>
            <w:vMerge w:val="restart"/>
          </w:tcPr>
          <w:p>
            <w:pPr>
              <w:jc w:val="right"/>
              <w:spacing w:after="0" w:line="162" w:lineRule="exact"/>
              <w:rPr>
                <w:sz w:val="20"/>
                <w:szCs w:val="20"/>
                <w:color w:val="auto"/>
              </w:rPr>
            </w:pPr>
            <w:r>
              <w:rPr>
                <w:rFonts w:ascii="Arial" w:cs="Arial" w:eastAsia="Arial" w:hAnsi="Arial"/>
                <w:sz w:val="16"/>
                <w:szCs w:val="16"/>
                <w:color w:val="auto"/>
              </w:rPr>
              <w:t>Retained</w:t>
            </w: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4700" w:type="dxa"/>
            <w:vAlign w:val="bottom"/>
            <w:vMerge w:val="restart"/>
          </w:tcPr>
          <w:p>
            <w:pPr>
              <w:ind w:left="20"/>
              <w:spacing w:after="0"/>
              <w:rPr>
                <w:sz w:val="20"/>
                <w:szCs w:val="20"/>
                <w:color w:val="auto"/>
              </w:rPr>
            </w:pPr>
            <w:r>
              <w:rPr>
                <w:rFonts w:ascii="Arial" w:cs="Arial" w:eastAsia="Arial" w:hAnsi="Arial"/>
                <w:sz w:val="16"/>
                <w:szCs w:val="16"/>
                <w:color w:val="auto"/>
              </w:rPr>
              <w:t>(000)</w:t>
            </w:r>
          </w:p>
        </w:tc>
        <w:tc>
          <w:tcPr>
            <w:tcW w:w="900" w:type="dxa"/>
            <w:vAlign w:val="bottom"/>
            <w:vMerge w:val="restart"/>
          </w:tcPr>
          <w:p>
            <w:pPr>
              <w:jc w:val="right"/>
              <w:ind w:right="79"/>
              <w:spacing w:after="0"/>
              <w:rPr>
                <w:sz w:val="20"/>
                <w:szCs w:val="20"/>
                <w:color w:val="auto"/>
              </w:rPr>
            </w:pPr>
            <w:r>
              <w:rPr>
                <w:rFonts w:ascii="Arial" w:cs="Arial" w:eastAsia="Arial" w:hAnsi="Arial"/>
                <w:sz w:val="16"/>
                <w:szCs w:val="16"/>
                <w:color w:val="auto"/>
              </w:rPr>
              <w:t>Shares</w:t>
            </w:r>
          </w:p>
        </w:tc>
        <w:tc>
          <w:tcPr>
            <w:tcW w:w="24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capital</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stock</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earnings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January 29, 2022</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351,720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1,717,530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(535,895)</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2,874,898</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4,060,050</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338,445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338,445</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issued under stock plans, net of shares</w:t>
            </w: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700" w:type="dxa"/>
            <w:vAlign w:val="bottom"/>
          </w:tcPr>
          <w:p>
            <w:pPr>
              <w:ind w:left="220"/>
              <w:spacing w:after="0"/>
              <w:rPr>
                <w:sz w:val="20"/>
                <w:szCs w:val="20"/>
                <w:color w:val="auto"/>
              </w:rPr>
            </w:pPr>
            <w:r>
              <w:rPr>
                <w:rFonts w:ascii="Arial" w:cs="Arial" w:eastAsia="Arial" w:hAnsi="Arial"/>
                <w:sz w:val="17"/>
                <w:szCs w:val="17"/>
                <w:color w:val="auto"/>
              </w:rPr>
              <w:t>used for tax withholding</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1,131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5,906</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(38,113)</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(32,196)</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36,071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36,071</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7"/>
                <w:szCs w:val="17"/>
                <w:color w:val="auto"/>
              </w:rPr>
              <w:t>Common stock repurchased</w:t>
            </w:r>
          </w:p>
        </w:tc>
        <w:tc>
          <w:tcPr>
            <w:tcW w:w="900" w:type="dxa"/>
            <w:vAlign w:val="bottom"/>
          </w:tcPr>
          <w:p>
            <w:pPr>
              <w:jc w:val="right"/>
              <w:spacing w:after="0"/>
              <w:rPr>
                <w:sz w:val="20"/>
                <w:szCs w:val="20"/>
                <w:color w:val="auto"/>
              </w:rPr>
            </w:pPr>
            <w:r>
              <w:rPr>
                <w:rFonts w:ascii="Arial" w:cs="Arial" w:eastAsia="Arial" w:hAnsi="Arial"/>
                <w:sz w:val="16"/>
                <w:szCs w:val="16"/>
                <w:color w:val="auto"/>
              </w:rPr>
              <w:t>(2,524)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(10,266)</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(229,274)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(239,565)</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Dividends declared ($0.310 per share)</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(108,908)</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(108,908)</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Balance at April 30, 2022</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350,327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3,503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1,749,241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(574,008)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2,875,161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4,053,897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384,517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384,517</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7"/>
                <w:szCs w:val="17"/>
                <w:color w:val="auto"/>
              </w:rPr>
              <w:t>Common stock issued under stock plans, net of shares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used for tax withholding</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5,974</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5,454</w:t>
            </w:r>
          </w:p>
        </w:tc>
        <w:tc>
          <w:tcPr>
            <w:tcW w:w="0" w:type="dxa"/>
            <w:vAlign w:val="bottom"/>
          </w:tcPr>
          <w:p>
            <w:pPr>
              <w:spacing w:after="0"/>
              <w:rPr>
                <w:sz w:val="1"/>
                <w:szCs w:val="1"/>
                <w:color w:val="auto"/>
              </w:rPr>
            </w:pPr>
          </w:p>
        </w:tc>
      </w:tr>
      <w:tr>
        <w:trPr>
          <w:trHeight w:val="226"/>
        </w:trPr>
        <w:tc>
          <w:tcPr>
            <w:tcW w:w="470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26,803</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26,803</w:t>
            </w:r>
          </w:p>
        </w:tc>
        <w:tc>
          <w:tcPr>
            <w:tcW w:w="0" w:type="dxa"/>
            <w:vAlign w:val="bottom"/>
          </w:tcPr>
          <w:p>
            <w:pPr>
              <w:spacing w:after="0"/>
              <w:rPr>
                <w:sz w:val="1"/>
                <w:szCs w:val="1"/>
                <w:color w:val="auto"/>
              </w:rPr>
            </w:pPr>
          </w:p>
        </w:tc>
      </w:tr>
      <w:tr>
        <w:trPr>
          <w:trHeight w:val="23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repurchased</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(2,928)</w:t>
            </w:r>
          </w:p>
        </w:tc>
        <w:tc>
          <w:tcPr>
            <w:tcW w:w="2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(12,594)</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(222,812)</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(235,435)</w:t>
            </w:r>
          </w:p>
        </w:tc>
        <w:tc>
          <w:tcPr>
            <w:tcW w:w="0" w:type="dxa"/>
            <w:vAlign w:val="bottom"/>
          </w:tcPr>
          <w:p>
            <w:pPr>
              <w:spacing w:after="0"/>
              <w:rPr>
                <w:sz w:val="1"/>
                <w:szCs w:val="1"/>
                <w:color w:val="auto"/>
              </w:rPr>
            </w:pPr>
          </w:p>
        </w:tc>
      </w:tr>
      <w:tr>
        <w:trPr>
          <w:trHeight w:val="22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($0.310 per share)</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(108,285)</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(108,285)</w:t>
            </w:r>
          </w:p>
        </w:tc>
        <w:tc>
          <w:tcPr>
            <w:tcW w:w="0" w:type="dxa"/>
            <w:vAlign w:val="bottom"/>
          </w:tcPr>
          <w:p>
            <w:pPr>
              <w:spacing w:after="0"/>
              <w:rPr>
                <w:sz w:val="1"/>
                <w:szCs w:val="1"/>
                <w:color w:val="auto"/>
              </w:rPr>
            </w:pPr>
          </w:p>
        </w:tc>
      </w:tr>
      <w:tr>
        <w:trPr>
          <w:trHeight w:val="220"/>
        </w:trPr>
        <w:tc>
          <w:tcPr>
            <w:tcW w:w="4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July 30, 2022</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347,552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1,769,424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(574,529)</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2,928,581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4,126,951</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2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Borders>
              <w:top w:val="single" w:sz="8" w:color="auto"/>
              <w:bottom w:val="single" w:sz="8" w:color="auto"/>
            </w:tcBorders>
          </w:tcPr>
          <w:p>
            <w:pPr>
              <w:spacing w:after="0"/>
              <w:rPr>
                <w:sz w:val="20"/>
                <w:szCs w:val="20"/>
                <w:color w:val="auto"/>
              </w:rPr>
            </w:pPr>
          </w:p>
        </w:tc>
      </w:tr>
      <w:tr>
        <w:trPr>
          <w:trHeight w:val="223"/>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unaudited)</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July 30, 2022</w:t>
            </w:r>
          </w:p>
        </w:tc>
      </w:tr>
      <w:tr>
        <w:trPr>
          <w:trHeight w:val="22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817,510</w:t>
            </w:r>
          </w:p>
        </w:tc>
        <w:tc>
          <w:tcPr>
            <w:tcW w:w="8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722,962</w:t>
            </w:r>
          </w:p>
        </w:tc>
      </w:tr>
      <w:tr>
        <w:trPr>
          <w:trHeight w:val="176"/>
        </w:trPr>
        <w:tc>
          <w:tcPr>
            <w:tcW w:w="7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Adjustments to reconcile net earnings to net cash provided</w:t>
            </w: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2"/>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(used in) operating activities:</w:t>
            </w:r>
          </w:p>
        </w:tc>
        <w:tc>
          <w:tcPr>
            <w:tcW w:w="4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197,924</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189,181</w:t>
            </w: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72,492</w:t>
            </w: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62,874</w:t>
            </w: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1,667</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59,138</w:t>
            </w: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assets and liabilities: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440" w:type="dxa"/>
            <w:vAlign w:val="bottom"/>
          </w:tcPr>
          <w:p>
            <w:pPr>
              <w:ind w:left="480"/>
              <w:spacing w:after="0"/>
              <w:rPr>
                <w:sz w:val="20"/>
                <w:szCs w:val="20"/>
                <w:color w:val="auto"/>
              </w:rPr>
            </w:pPr>
            <w:r>
              <w:rPr>
                <w:rFonts w:ascii="Arial" w:cs="Arial" w:eastAsia="Arial" w:hAnsi="Arial"/>
                <w:sz w:val="18"/>
                <w:szCs w:val="18"/>
                <w:color w:val="auto"/>
              </w:rPr>
              <w:t>Merchandise inventory</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(276,568)</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(454,605)</w:t>
            </w:r>
          </w:p>
        </w:tc>
      </w:tr>
      <w:tr>
        <w:trPr>
          <w:trHeight w:val="229"/>
        </w:trPr>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(60,431)</w:t>
            </w: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(71,290)</w:t>
            </w:r>
          </w:p>
        </w:tc>
      </w:tr>
      <w:tr>
        <w:trPr>
          <w:trHeight w:val="229"/>
        </w:trPr>
        <w:tc>
          <w:tcPr>
            <w:tcW w:w="74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144,775</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(288,454)</w:t>
            </w:r>
          </w:p>
        </w:tc>
      </w:tr>
      <w:tr>
        <w:trPr>
          <w:trHeight w:val="230"/>
        </w:trPr>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235,490</w:t>
            </w: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(265,399)</w:t>
            </w:r>
          </w:p>
        </w:tc>
      </w:tr>
      <w:tr>
        <w:trPr>
          <w:trHeight w:val="229"/>
        </w:trPr>
        <w:tc>
          <w:tcPr>
            <w:tcW w:w="744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(24,152)</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(13,941)</w:t>
            </w:r>
          </w:p>
        </w:tc>
      </w:tr>
      <w:tr>
        <w:trPr>
          <w:trHeight w:val="229"/>
        </w:trPr>
        <w:tc>
          <w:tcPr>
            <w:tcW w:w="7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lease assets and liabilities, net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5,172</w:t>
            </w: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r>
      <w:tr>
        <w:trPr>
          <w:trHeight w:val="230"/>
        </w:trPr>
        <w:tc>
          <w:tcPr>
            <w:tcW w:w="7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 long-term, net</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2,402</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r>
      <w:tr>
        <w:trPr>
          <w:trHeight w:val="223"/>
        </w:trPr>
        <w:tc>
          <w:tcPr>
            <w:tcW w:w="74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1,116,281</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(56,265)</w:t>
            </w:r>
          </w:p>
        </w:tc>
      </w:tr>
      <w:tr>
        <w:trPr>
          <w:trHeight w:val="196"/>
        </w:trPr>
        <w:tc>
          <w:tcPr>
            <w:tcW w:w="7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Additions to property and equipment</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(363,459)</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(243,346)</w:t>
            </w:r>
          </w:p>
        </w:tc>
      </w:tr>
      <w:tr>
        <w:trPr>
          <w:trHeight w:val="223"/>
        </w:trPr>
        <w:tc>
          <w:tcPr>
            <w:tcW w:w="74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(363,459)</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(243,346)</w:t>
            </w:r>
          </w:p>
        </w:tc>
      </w:tr>
      <w:tr>
        <w:trPr>
          <w:trHeight w:val="196"/>
        </w:trPr>
        <w:tc>
          <w:tcPr>
            <w:tcW w:w="7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Issuance of common stock related to stock plans</w:t>
            </w:r>
          </w:p>
        </w:tc>
        <w:tc>
          <w:tcPr>
            <w:tcW w:w="4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12,358</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11,892</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purchased</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(38,435)</w:t>
            </w:r>
          </w:p>
        </w:tc>
        <w:tc>
          <w:tcPr>
            <w:tcW w:w="8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(38,634)</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(464,890)</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(475,000)</w:t>
            </w:r>
          </w:p>
        </w:tc>
      </w:tr>
      <w:tr>
        <w:trPr>
          <w:trHeight w:val="23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(228,799)</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(217,193)</w:t>
            </w:r>
          </w:p>
        </w:tc>
      </w:tr>
      <w:tr>
        <w:trPr>
          <w:trHeight w:val="223"/>
        </w:trPr>
        <w:tc>
          <w:tcPr>
            <w:tcW w:w="7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Net cash used in financing activities</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(719,766)</w:t>
            </w: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(718,935)</w:t>
            </w:r>
          </w:p>
        </w:tc>
      </w:tr>
      <w:tr>
        <w:trPr>
          <w:trHeight w:val="196"/>
        </w:trPr>
        <w:tc>
          <w:tcPr>
            <w:tcW w:w="7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 and cash equivalents</w:t>
            </w:r>
          </w:p>
        </w:tc>
        <w:tc>
          <w:tcPr>
            <w:tcW w:w="42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b w:val="1"/>
                <w:bCs w:val="1"/>
                <w:color w:val="auto"/>
              </w:rPr>
              <w:t>33,056</w:t>
            </w:r>
          </w:p>
        </w:tc>
        <w:tc>
          <w:tcPr>
            <w:tcW w:w="8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(1,018,546)</w:t>
            </w:r>
          </w:p>
        </w:tc>
      </w:tr>
      <w:tr>
        <w:trPr>
          <w:trHeight w:val="216"/>
        </w:trPr>
        <w:tc>
          <w:tcPr>
            <w:tcW w:w="7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and cash equivalents: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4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Beginning of period</w:t>
            </w:r>
          </w:p>
        </w:tc>
        <w:tc>
          <w:tcPr>
            <w:tcW w:w="4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4,612,241</w:t>
            </w:r>
          </w:p>
        </w:tc>
        <w:tc>
          <w:tcPr>
            <w:tcW w:w="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4,982,382</w:t>
            </w:r>
          </w:p>
        </w:tc>
      </w:tr>
      <w:tr>
        <w:trPr>
          <w:trHeight w:val="230"/>
        </w:trPr>
        <w:tc>
          <w:tcPr>
            <w:tcW w:w="74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End of period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4,645,297</w:t>
            </w:r>
          </w:p>
        </w:tc>
        <w:tc>
          <w:tcPr>
            <w:tcW w:w="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3,963,836</w:t>
            </w:r>
          </w:p>
        </w:tc>
      </w:tr>
      <w:tr>
        <w:trPr>
          <w:trHeight w:val="203"/>
        </w:trPr>
        <w:tc>
          <w:tcPr>
            <w:tcW w:w="7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40,158</w:t>
            </w:r>
          </w:p>
        </w:tc>
        <w:tc>
          <w:tcPr>
            <w:tcW w:w="8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40,158</w:t>
            </w:r>
          </w:p>
        </w:tc>
      </w:tr>
      <w:tr>
        <w:trPr>
          <w:trHeight w:val="229"/>
        </w:trPr>
        <w:tc>
          <w:tcPr>
            <w:tcW w:w="7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paid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287,084</w:t>
            </w:r>
          </w:p>
        </w:tc>
        <w:tc>
          <w:tcPr>
            <w:tcW w:w="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187,047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Three and Six Months Ended July 29, 2023 and July 30, 2022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Summary of Significant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accompanying unaudited interim condensed consolidated financial statements have been prepared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Ross Stores, Inc. and subsidiaries (the “Company”) without audit and, in the opinion of management, include all adjustments (consisting of only normal, recurring adjustments) necessary to present fairly the Company’s financial position as of July 29, 2023 and July 30, 2022, and the results of operations, comprehensive income, and stockholders’ equity for the three and six month periods ended July 29, 2023 and July 30, 2022, and the cash flows for the six month periods ended July 29, 2023 and July 30, 2022. The Condensed Consolidated Balance Sheet as of January 28, 2023, presented herein, has been derived from the Company’s audited consolidated financial statements for the fiscal year then ended.</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information and disclosures normally included in the notes to annual consolidated financial statements prepared in accordance with accounting principles generally accepted in the United States of America (“GAAP”) have been condensed or omitted for purposes of these interim condensed consolidated financial statements. The interim condensed consolidated financial statements should be read in conjunction with the audited consolidated financial statements, including notes thereto, contained in the Company’s Annual Report on Form 10-K for the year ended January 28, 2023.</w:t>
      </w:r>
    </w:p>
    <w:p>
      <w:pPr>
        <w:spacing w:after="0" w:line="20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results of operations, comprehensive income, and stockholders’ equity for the three and six month periods ended July 29, 2023 and July 30, 2022, and the cash flows for the six month periods ended July 29, 2023 and July 30, 2022 presented herein are not necessarily indicative of the results to be expected for the full fiscal year. The fiscal year ending February 3, 2024 is referred to as fiscal 2023 and is a 53-week year. The fiscal year ended January 28, 2023 is referred to as fiscal 2022 and was a 52-week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In September 2022, the FASB issued Accounting Standards Update (ASU) 2022-04,</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Liabilities</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i w:val="1"/>
          <w:iCs w:val="1"/>
          <w:color w:val="auto"/>
        </w:rPr>
        <w:t>— Supplier Finance Programs (Subtopic 405-50): Disclosure of Supplier Finance Program Obligations</w:t>
      </w:r>
      <w:r>
        <w:rPr>
          <w:rFonts w:ascii="Arial" w:cs="Arial" w:eastAsia="Arial" w:hAnsi="Arial"/>
          <w:sz w:val="18"/>
          <w:szCs w:val="18"/>
          <w:color w:val="auto"/>
        </w:rPr>
        <w:t>, to enhance transparency about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entity’s use of supplier finance programs. The ASU requires enhanced and additional disclosures about the key terms of supplier finance programs including a description of where in the financial statements any related amounts are presented. The Company adopted ASU 2022-04 in the first quarter of fiscal 2023 on a retrospective basis, excluding the rollforward requirements which will be adopted in fiscal 2024 on a prospective basis. The adoption of this standard did not have a material impact on the Company’s condensed consolidated financial statements for the three and six month periods ended July 29, 2023 and is not expected to have a material impact on the Company’s fiscal 2023 financial statements.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Use of accounting estimates. </w:t>
      </w:r>
      <w:r>
        <w:rPr>
          <w:rFonts w:ascii="Arial" w:cs="Arial" w:eastAsia="Arial" w:hAnsi="Arial"/>
          <w:sz w:val="18"/>
          <w:szCs w:val="18"/>
          <w:color w:val="auto"/>
        </w:rPr>
        <w:t>The preparation of financial statements in conformity with GAAP requires the Company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liabilities, and disclosures of contingent assets and liabilities at the date of the condensed consolidated financial statements, and the reported amounts of revenue and expenses during the reporting period. The Company’s significant accounting estimates include valuation reserves for inventory, packaway and other inventory carrying costs, useful lives of fixed assets, insurance reserves, reserves for uncertain tax positions, and legal claims. The uncertainties and potential impacts from macroeconomic factors, such as inflation, increase the challenge of making these estimates; actual results could differ materially from the Company’s estimates.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following sales mix table disaggregates revenue by merchandise category for the three and six month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July 29, 2023 and July 30, 2022:</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3"/>
        </w:trPr>
        <w:tc>
          <w:tcPr>
            <w:tcW w:w="4540" w:type="dxa"/>
            <w:vAlign w:val="bottom"/>
            <w:tcBorders>
              <w:top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top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37"/>
        </w:trPr>
        <w:tc>
          <w:tcPr>
            <w:tcW w:w="4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July 29, 2023</w:t>
            </w:r>
          </w:p>
        </w:tc>
        <w:tc>
          <w:tcPr>
            <w:tcW w:w="15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July 30, 2022</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July 29, 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Accents and Bed and Bath</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24 %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Ladies</w:t>
            </w: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24 %</w:t>
            </w:r>
          </w:p>
        </w:tc>
        <w:tc>
          <w:tcPr>
            <w:tcW w:w="1400" w:type="dxa"/>
            <w:vAlign w:val="bottom"/>
          </w:tcPr>
          <w:p>
            <w:pPr>
              <w:jc w:val="right"/>
              <w:spacing w:after="0"/>
              <w:rPr>
                <w:sz w:val="20"/>
                <w:szCs w:val="20"/>
                <w:color w:val="auto"/>
              </w:rPr>
            </w:pPr>
            <w:r>
              <w:rPr>
                <w:rFonts w:ascii="Arial" w:cs="Arial" w:eastAsia="Arial" w:hAnsi="Arial"/>
                <w:sz w:val="18"/>
                <w:szCs w:val="18"/>
                <w:color w:val="auto"/>
              </w:rPr>
              <w:t>25 %</w:t>
            </w:r>
          </w:p>
        </w:tc>
        <w:tc>
          <w:tcPr>
            <w:tcW w:w="180" w:type="dxa"/>
            <w:vAlign w:val="bottom"/>
          </w:tcPr>
          <w:p>
            <w:pPr>
              <w:spacing w:after="0"/>
              <w:rPr>
                <w:sz w:val="19"/>
                <w:szCs w:val="19"/>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24 %</w:t>
            </w:r>
          </w:p>
        </w:tc>
        <w:tc>
          <w:tcPr>
            <w:tcW w:w="14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Accessories, Lingerie, Fine Jewelry, and Cosmetics</w:t>
            </w: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15 %</w:t>
            </w:r>
          </w:p>
        </w:tc>
        <w:tc>
          <w:tcPr>
            <w:tcW w:w="1400" w:type="dxa"/>
            <w:vAlign w:val="bottom"/>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19"/>
                <w:szCs w:val="19"/>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15 %</w:t>
            </w:r>
          </w:p>
        </w:tc>
        <w:tc>
          <w:tcPr>
            <w:tcW w:w="14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Shoes</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Children’s</w:t>
            </w:r>
          </w:p>
        </w:tc>
        <w:tc>
          <w:tcPr>
            <w:tcW w:w="1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highly liquid, fixed income instruments purchased with an original maturity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The institutions where these instruments are held could potentially subject the Company to concentrations of credit risk. The Company manages its risk associated with these instruments primarily by holding its cash and cash equivalents across a highly diversified set of banks and other financial institutions.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Restricted cash and cash equivalents. </w:t>
      </w:r>
      <w:r>
        <w:rPr>
          <w:rFonts w:ascii="Arial" w:cs="Arial" w:eastAsia="Arial" w:hAnsi="Arial"/>
          <w:sz w:val="18"/>
          <w:szCs w:val="18"/>
          <w:color w:val="auto"/>
        </w:rPr>
        <w:t>Restricted cash and cash equivalents serve as collateral for certain insurance obligations.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funds are invested in bank deposits, money market funds, and U.S. Government and agency securities and cannot be withdrawn from the Company’s account without the prior written consent of the secured parties. The classification between current and long-term is based on the timing of expected payments of the obligations.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and cash equivalents in the Condensed Consolidated Balance Sheets that reconcile to the amounts shown on the Condensed Consolidated Statements of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8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2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January 28, 2023</w:t>
            </w:r>
          </w:p>
        </w:tc>
        <w:tc>
          <w:tcPr>
            <w:tcW w:w="4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84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4,583,606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4,551,876</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3,903,670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Restricted cash and cash equivalents included in:</w:t>
            </w:r>
          </w:p>
        </w:tc>
        <w:tc>
          <w:tcPr>
            <w:tcW w:w="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w:t>
            </w:r>
          </w:p>
        </w:tc>
        <w:tc>
          <w:tcPr>
            <w:tcW w:w="8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12,955</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12,677</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Other long-term assets</w:t>
            </w:r>
          </w:p>
        </w:tc>
        <w:tc>
          <w:tcPr>
            <w:tcW w:w="8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48,736</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47,688</w:t>
            </w: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 and cash equivalents</w:t>
            </w:r>
          </w:p>
        </w:tc>
        <w:tc>
          <w:tcPr>
            <w:tcW w:w="8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61,691</w:t>
            </w: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60,365</w:t>
            </w:r>
          </w:p>
        </w:tc>
        <w:tc>
          <w:tcPr>
            <w:tcW w:w="4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60,166</w:t>
            </w:r>
          </w:p>
        </w:tc>
        <w:tc>
          <w:tcPr>
            <w:tcW w:w="0" w:type="dxa"/>
            <w:vAlign w:val="bottom"/>
          </w:tcPr>
          <w:p>
            <w:pPr>
              <w:spacing w:after="0"/>
              <w:rPr>
                <w:sz w:val="1"/>
                <w:szCs w:val="1"/>
                <w:color w:val="auto"/>
              </w:rPr>
            </w:pPr>
          </w:p>
        </w:tc>
      </w:tr>
      <w:tr>
        <w:trPr>
          <w:trHeight w:val="170"/>
        </w:trPr>
        <w:tc>
          <w:tcPr>
            <w:tcW w:w="5140" w:type="dxa"/>
            <w:vAlign w:val="bottom"/>
          </w:tcPr>
          <w:p>
            <w:pPr>
              <w:ind w:left="20"/>
              <w:spacing w:after="0" w:line="170" w:lineRule="exact"/>
              <w:rPr>
                <w:sz w:val="20"/>
                <w:szCs w:val="20"/>
                <w:color w:val="auto"/>
              </w:rPr>
            </w:pPr>
            <w:r>
              <w:rPr>
                <w:rFonts w:ascii="Arial" w:cs="Arial" w:eastAsia="Arial" w:hAnsi="Arial"/>
                <w:sz w:val="18"/>
                <w:szCs w:val="18"/>
                <w:color w:val="auto"/>
              </w:rPr>
              <w:t>Total cash, cash equivalents, and restricted cash and cash</w:t>
            </w:r>
          </w:p>
        </w:tc>
        <w:tc>
          <w:tcPr>
            <w:tcW w:w="8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4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4,645,297</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equivalents</w:t>
            </w:r>
          </w:p>
        </w:tc>
        <w:tc>
          <w:tcPr>
            <w:tcW w:w="840" w:type="dxa"/>
            <w:vAlign w:val="bottom"/>
            <w:tcBorders>
              <w:bottom w:val="single" w:sz="8" w:color="auto"/>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4,612,241</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3,963,836</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As of July 29, 2023 and July 30, 2022, the Company had $34.6 million and $24.4 million, respectively, of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and equipment purchased but not yet paid. These purchases are included in Property and equipment, Accounts payable, and Accrued expenses and other in the accompanying Condensed Consolidated Balance Sheets.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18"/>
          <w:szCs w:val="18"/>
          <w:color w:val="auto"/>
        </w:rPr>
        <w:t>Supplemental cash flow disclosures related to operating lease assets obtained in exchange for operating lease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new leases and remeasurements or modifications of existing leases)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240" w:type="dxa"/>
            <w:vAlign w:val="bottom"/>
            <w:tcBorders>
              <w:top w:val="single" w:sz="8" w:color="auto"/>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July 30, 2022</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c>
          <w:tcPr>
            <w:tcW w:w="0" w:type="dxa"/>
            <w:vAlign w:val="bottom"/>
          </w:tcPr>
          <w:p>
            <w:pPr>
              <w:spacing w:after="0"/>
              <w:rPr>
                <w:sz w:val="1"/>
                <w:szCs w:val="1"/>
                <w:color w:val="auto"/>
              </w:rPr>
            </w:pPr>
          </w:p>
        </w:tc>
      </w:tr>
      <w:tr>
        <w:trPr>
          <w:trHeight w:val="170"/>
        </w:trPr>
        <w:tc>
          <w:tcPr>
            <w:tcW w:w="392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Operating lease assets obtained in exchange for</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207,218</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vMerge w:val="restart"/>
            <w:shd w:val="clear" w:color="auto" w:fill="CCEEFF"/>
          </w:tcPr>
          <w:p>
            <w:pPr>
              <w:ind w:left="640"/>
              <w:spacing w:after="0"/>
              <w:rPr>
                <w:sz w:val="20"/>
                <w:szCs w:val="20"/>
                <w:color w:val="auto"/>
              </w:rPr>
            </w:pPr>
            <w:r>
              <w:rPr>
                <w:rFonts w:ascii="Arial" w:cs="Arial" w:eastAsia="Arial" w:hAnsi="Arial"/>
                <w:sz w:val="18"/>
                <w:szCs w:val="18"/>
                <w:b w:val="1"/>
                <w:bCs w:val="1"/>
                <w:color w:val="auto"/>
              </w:rPr>
              <w:t>390,851</w:t>
            </w: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6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126,236</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vMerge w:val="continue"/>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314,081</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Cash dividends. </w:t>
      </w:r>
      <w:r>
        <w:rPr>
          <w:rFonts w:ascii="Arial" w:cs="Arial" w:eastAsia="Arial" w:hAnsi="Arial"/>
          <w:sz w:val="18"/>
          <w:szCs w:val="18"/>
          <w:color w:val="auto"/>
        </w:rPr>
        <w:t>On August 16, 2023, the Company’s Board of Directors declared a quarterly cash dividend of $0.335 per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September 29, 2023. The Company’s Board of Directors declared a cash dividend of $0.335 per common share in February and May 2023, and $0.310 per common share in March, May, August, and November 2022.</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Stock repurchase program. </w:t>
      </w:r>
      <w:r>
        <w:rPr>
          <w:rFonts w:ascii="Arial" w:cs="Arial" w:eastAsia="Arial" w:hAnsi="Arial"/>
          <w:sz w:val="18"/>
          <w:szCs w:val="18"/>
          <w:color w:val="auto"/>
        </w:rPr>
        <w:t>In March 2022, the Company’s Board of Directors approved a two-year program to repurchase up to</w:t>
      </w:r>
      <w:r>
        <w:rPr>
          <w:rFonts w:ascii="Arial" w:cs="Arial" w:eastAsia="Arial" w:hAnsi="Arial"/>
          <w:sz w:val="18"/>
          <w:szCs w:val="18"/>
          <w:b w:val="1"/>
          <w:bCs w:val="1"/>
          <w:color w:val="auto"/>
        </w:rPr>
        <w:t xml:space="preserve"> </w:t>
      </w:r>
      <w:r>
        <w:rPr>
          <w:rFonts w:ascii="Arial" w:cs="Arial" w:eastAsia="Arial" w:hAnsi="Arial"/>
          <w:sz w:val="18"/>
          <w:szCs w:val="18"/>
          <w:color w:val="auto"/>
        </w:rPr>
        <w:t>$1.9 billion of the Company’s common stock through fiscal 2023. During the six month period ended July 29, 2023, the Company repurchased 4.3 million shares of common stock for $464.9 million, excluding excise tax due</w:t>
      </w:r>
    </w:p>
    <w:p>
      <w:pPr>
        <w:sectPr>
          <w:pgSz w:w="11900" w:h="16838" w:orient="portrait"/>
          <w:cols w:equalWidth="0" w:num="1">
            <w:col w:w="11240"/>
          </w:cols>
          <w:pgMar w:left="320" w:top="956"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type w:val="continuous"/>
        </w:sectPr>
      </w:pPr>
    </w:p>
    <w:bookmarkStart w:id="9" w:name="page10"/>
    <w:bookmarkEnd w:id="9"/>
    <w:p>
      <w:pPr>
        <w:jc w:val="both"/>
        <w:spacing w:after="0" w:line="275" w:lineRule="auto"/>
        <w:rPr>
          <w:sz w:val="20"/>
          <w:szCs w:val="20"/>
          <w:color w:val="auto"/>
        </w:rPr>
      </w:pPr>
      <w:r>
        <w:rPr>
          <w:rFonts w:ascii="Arial" w:cs="Arial" w:eastAsia="Arial" w:hAnsi="Arial"/>
          <w:sz w:val="18"/>
          <w:szCs w:val="18"/>
          <w:color w:val="auto"/>
        </w:rPr>
        <w:t>under the Inflation Reduction Act of 2022. The Company repurchased 5.5 million shares of common stock for $475.0 million during the six month period ended July 30, 2022.</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Litigation, claims, and assessments. </w:t>
      </w:r>
      <w:r>
        <w:rPr>
          <w:rFonts w:ascii="Arial" w:cs="Arial" w:eastAsia="Arial" w:hAnsi="Arial"/>
          <w:sz w:val="18"/>
          <w:szCs w:val="18"/>
          <w:color w:val="auto"/>
        </w:rPr>
        <w:t>Like many retailers, the Company has been named in class/representative action lawsuits,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in California, alleging violations by the Company of wage and hour laws. Class/representative action litigation remains pending as of July 29, 2023.</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is also party to various other legal and regulatory proceedings arising in the normal course of business. Actions filed against the Company may include commercial, product and product safety, consumer, intellectual property, environmental, and labor and employment-related claims, including lawsuits in which private plaintiffs or governmental agencies allege that the Company violated federal, state, and/or local laws. Actions against the Company are in various procedural stages. Many of these proceedings raise factual and legal issues and are subject to uncertainties.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the opinion of management, the resolution of currently pending class/representative action litigation and other currently pending legal and regulatory proceedings will not have a material adverse effect on the Company’s financial condition, results of operations, or cash flows.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Supply chain finance program. </w:t>
      </w:r>
      <w:r>
        <w:rPr>
          <w:rFonts w:ascii="Arial" w:cs="Arial" w:eastAsia="Arial" w:hAnsi="Arial"/>
          <w:sz w:val="18"/>
          <w:szCs w:val="18"/>
          <w:color w:val="auto"/>
        </w:rPr>
        <w:t>The Company facilitates a voluntary supply chain finance program (the “program”) to provide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with the opportunity to sell receivables due from the Company to participating financial institutions at the sole discretion of both the suppliers and the financial institutions. A third-party bank administers the program. The Company’s responsibility is limited to making payment on the terms originally negotiated with each supplier, regardless of whether a supplier sells its receivable to a financial institution. The Company is not a party to the agreements between the participating financial institutions and the suppliers in connection with the program and receives no financial incentives from the suppliers or the financial institutions. No guarantees are provided by the Company under the program and the Company’s rights and obligations to its suppliers are not affected by the program. The range of payment terms negotiated with a supplier is consistent, irrespective of whether a supplier participates in the program.</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All outstanding payments owed under the program are recorded within Accounts payable in the Consolidated Balance Sheets. The Company accounts for all payments made under the program as a reduction to operating cash flows in Accounts payable within the Consolidated Statements of Cash Flows. The amounts owed to a participating financial institution under the program and included in Accounts payable were $165.6 million, $119.2 million, and $167.6 million at July 29, 2023, January 28, 2023, and July 30, 2022,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Fair Value Measurements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 inputs used to measure fair value include: Level 1, observable inputs such as quoted prices in active markets; Level 2, inputs other than quoted prices in active markets that are either directly or indirectly observable; and Level 3, unobservable inputs in which little or no market data exists. This fair value hierarchy requires the Company to develop its own assumptions, maximize the use of observable inputs, and minimize the use of unobservable inputs when measuring fair value. Corporate, U.S. government and agency, and mortgage-backed securities are classified within Level 1 or Level 2 because these securities are valued using quoted market prices or alternative pricing sources and models utilizing market observable inputs.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financial instruments are as follows:</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12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January 28, 2023</w:t>
            </w:r>
          </w:p>
        </w:tc>
        <w:tc>
          <w:tcPr>
            <w:tcW w:w="5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(Level 1)</w:t>
            </w: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4,583,606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4,551,876</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3,903,670</w:t>
            </w:r>
          </w:p>
        </w:tc>
      </w:tr>
      <w:tr>
        <w:trPr>
          <w:trHeight w:val="237"/>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 (Level 1)</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61,691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60,365</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0" w:name="page11"/>
    <w:bookmarkEnd w:id="10"/>
    <w:p>
      <w:pPr>
        <w:jc w:val="both"/>
        <w:spacing w:after="0" w:line="263" w:lineRule="auto"/>
        <w:rPr>
          <w:sz w:val="20"/>
          <w:szCs w:val="20"/>
          <w:color w:val="auto"/>
        </w:rPr>
      </w:pPr>
      <w:r>
        <w:rPr>
          <w:rFonts w:ascii="Arial" w:cs="Arial" w:eastAsia="Arial" w:hAnsi="Arial"/>
          <w:sz w:val="18"/>
          <w:szCs w:val="18"/>
          <w:color w:val="auto"/>
        </w:rPr>
        <w:t>The underlying assets in the Company’s nonqualified deferred compensation program as of July 29, 2023, January 28, 2023, and July 30, 2022 (included in Other long-term assets and in Other long-term liabilities) primarily consist of participant-directed money market, stock, and bond funds. The fair value measurement for funds with quoted market prices in active markets (Level 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158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January 28, 2023</w:t>
            </w:r>
          </w:p>
        </w:tc>
        <w:tc>
          <w:tcPr>
            <w:tcW w:w="5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3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5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161,091</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155,496</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158,223</w:t>
            </w:r>
          </w:p>
        </w:tc>
      </w:tr>
      <w:tr>
        <w:trPr>
          <w:trHeight w:val="552"/>
        </w:trPr>
        <w:tc>
          <w:tcPr>
            <w:tcW w:w="4220" w:type="dxa"/>
            <w:vAlign w:val="bottom"/>
          </w:tcPr>
          <w:p>
            <w:pPr>
              <w:spacing w:after="0"/>
              <w:rPr>
                <w:sz w:val="20"/>
                <w:szCs w:val="20"/>
                <w:color w:val="auto"/>
              </w:rPr>
            </w:pPr>
            <w:r>
              <w:rPr>
                <w:rFonts w:ascii="Arial" w:cs="Arial" w:eastAsia="Arial" w:hAnsi="Arial"/>
                <w:sz w:val="18"/>
                <w:szCs w:val="18"/>
                <w:b w:val="1"/>
                <w:bCs w:val="1"/>
                <w:color w:val="auto"/>
              </w:rPr>
              <w:t>Note C: Stock-Based Compensation</w:t>
            </w: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and six month periods ended July 29, 2023 and July 30, 2022, the Company recognized stock-based compensation expense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32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July 30, 2022</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24,055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45,548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41,160</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Performance awards</w:t>
            </w:r>
          </w:p>
        </w:tc>
        <w:tc>
          <w:tcPr>
            <w:tcW w:w="3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14,278</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24,762</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19,614</w:t>
            </w:r>
          </w:p>
        </w:tc>
      </w:tr>
      <w:tr>
        <w:trPr>
          <w:trHeight w:val="230"/>
        </w:trPr>
        <w:tc>
          <w:tcPr>
            <w:tcW w:w="4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1,096</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2,182</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30"/>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39,429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26,803</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72,492</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62,874</w:t>
            </w:r>
          </w:p>
        </w:tc>
      </w:tr>
    </w:tbl>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Total stock-based compensation expense recognized in the Company’s Condensed Consolidated Statements of Earnings for the three and six month periods ended July 29, 2023 and July 30, 2022 is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30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Statements of Earnings Classification ($000)</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July 30, 2022</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38,631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34,221</w:t>
            </w:r>
          </w:p>
        </w:tc>
      </w:tr>
      <w:tr>
        <w:trPr>
          <w:trHeight w:val="230"/>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18,123</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11,128</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33,861</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28,653</w:t>
            </w:r>
          </w:p>
        </w:tc>
      </w:tr>
      <w:tr>
        <w:trPr>
          <w:trHeight w:val="230"/>
        </w:trPr>
        <w:tc>
          <w:tcPr>
            <w:tcW w:w="4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39,429</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w:t>
            </w:r>
          </w:p>
        </w:tc>
        <w:tc>
          <w:tcPr>
            <w:tcW w:w="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72,492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62,874</w:t>
            </w:r>
          </w:p>
        </w:tc>
      </w:tr>
    </w:tbl>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tax benefits related to stock-based compensation expense for the three and six month periods ended July 29, 2023 were $8.2 million and $15.2 million, respectively. The tax benefits related to stock-based compensation expense for the three and six month periods ended July 30, 2022 were $5.3 million and $12.8 million, respectively.</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The Company grants shares of restricted stock or restricted stock units to directors, officers, and key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value of shares of restricted stock and restricted stock units at the date of grant is amortized to expense over the vesting period of generally three to five years.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Performance share awards. </w:t>
      </w:r>
      <w:r>
        <w:rPr>
          <w:rFonts w:ascii="Arial" w:cs="Arial" w:eastAsia="Arial" w:hAnsi="Arial"/>
          <w:sz w:val="18"/>
          <w:szCs w:val="18"/>
          <w:color w:val="auto"/>
        </w:rPr>
        <w:t>The Company has a performance share award program for senior executives. A performance share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right to receive shares of restricted stock on a specified settlement date based on the Company’s attainment of a performance goal during the performance period, which is the Company’s fiscal year. If attained, the restricted stock then vests over a service period, generally three years from the date the performance award was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8"/>
          <w:szCs w:val="18"/>
          <w:color w:val="auto"/>
        </w:rPr>
        <w:t>As of July 29, 2023, shares related to unvested restricted stock, restricted stock units, and performance share awards totaled 4.2 million shares. A summary of restricted stock, restricted stock units, and performance share award activity for the six month period ended July 29, 2023,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rPr>
              <w:t>Number of</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Weighted-average</w:t>
            </w: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42"/>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per share data)</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January 28, 2023</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99.69</w:t>
            </w: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Awarded</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1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94.48</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101.61</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July 29, 2023</w:t>
            </w: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4,160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103.61</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unamortized compensation expense at July 29, 2023 was $217.6 million which is expected to be recognized over a weighted-average remaining period of 2.1 years. The unamortized compensation expense at July 30, 2022 was $239.1 million which was expected to be recognized over a weighted-average remaining period of 2.2 years.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three and six month periods ended July 29, 2023 and July 30, 2022, shares purchased by the Company for tax withholding totaled 8,842 and 376,128, and 6,751 and 415,216, respectively, and are considered treasury shares which are available for reissuance.</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Under the Employee Stock Purchase Plan (“ESPP”), eligible employees participating in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period can choose to have up to the lesser of 10% of their annual base earnings or the IRS annual share purchase limit of $25,000 in aggregate market value to purchase the Company’s common stock. The purchase price of the stock is 85% of the closing market price on the date of purchase. Purchases occur on a quarterly basis (on the last trading day of each calendar quarter). The Company recognizes expense for ESPP purchase rights equal to the value of the 15% discount given on the purchase date.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Earnings Per Share</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computes and reports both basic earnings per share (“EPS”) and diluted EPS. Basic EPS is computed by dividing net earnings by the weighted-average number of common shares outstanding for the period. Diluted EPS is computed by dividing net earnings by the sum of the weighted-average number of common shares and dilutive common stock equivalents outstanding during the period. Diluted EPS reflects the total potential dilution that could occur from outstanding equity plan awards and unvested shares of both performance and non-performance based awards of restricted stock and restricted stock units.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six month periods ended July 29, 2023, approximately 14,000 and 18,000 weighted-average shares were excluded from the calculation of diluted EPS, respectively, because their effect would have been anti-dilutive for the periods presented. For the three and six month periods ended July 30, 2022, approximately 1,509,000 and 747,000 weighted-average shares were excluded from the calculation of diluted EPS, respectively, because their effect would have been anti-dilutive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is a reconciliation of the number of shares (denominator) used in the basic and diluted EPS computations:</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24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10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Six Months Ended</w:t>
            </w:r>
          </w:p>
        </w:tc>
        <w:tc>
          <w:tcPr>
            <w:tcW w:w="3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30"/>
              <w:spacing w:after="0" w:line="170" w:lineRule="exact"/>
              <w:rPr>
                <w:sz w:val="20"/>
                <w:szCs w:val="20"/>
                <w:color w:val="auto"/>
              </w:rPr>
            </w:pPr>
            <w:r>
              <w:rPr>
                <w:rFonts w:ascii="Arial" w:cs="Arial" w:eastAsia="Arial" w:hAnsi="Arial"/>
                <w:sz w:val="18"/>
                <w:szCs w:val="18"/>
                <w:color w:val="auto"/>
              </w:rPr>
              <w:t>Effect of</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Effect of</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dilutive</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line="176" w:lineRule="exact"/>
              <w:rPr>
                <w:sz w:val="20"/>
                <w:szCs w:val="20"/>
                <w:color w:val="auto"/>
              </w:rPr>
            </w:pPr>
            <w:r>
              <w:rPr>
                <w:rFonts w:ascii="Arial" w:cs="Arial" w:eastAsia="Arial" w:hAnsi="Arial"/>
                <w:sz w:val="18"/>
                <w:szCs w:val="18"/>
                <w:color w:val="auto"/>
              </w:rPr>
              <w:t>dilutive</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ind w:right="30"/>
              <w:spacing w:after="0" w:line="176" w:lineRule="exact"/>
              <w:rPr>
                <w:sz w:val="20"/>
                <w:szCs w:val="20"/>
                <w:color w:val="auto"/>
              </w:rPr>
            </w:pPr>
            <w:r>
              <w:rPr>
                <w:rFonts w:ascii="Arial" w:cs="Arial" w:eastAsia="Arial" w:hAnsi="Arial"/>
                <w:sz w:val="18"/>
                <w:szCs w:val="18"/>
                <w:color w:val="auto"/>
              </w:rPr>
              <w:t>common</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rPr>
              <w:t>Shares in (000s)</w:t>
            </w:r>
          </w:p>
        </w:tc>
        <w:tc>
          <w:tcPr>
            <w:tcW w:w="30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Basic EPS</w:t>
            </w:r>
          </w:p>
        </w:tc>
        <w:tc>
          <w:tcPr>
            <w:tcW w:w="2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8"/>
                <w:szCs w:val="18"/>
                <w:color w:val="auto"/>
              </w:rPr>
              <w:t>common stock</w:t>
            </w:r>
          </w:p>
        </w:tc>
        <w:tc>
          <w:tcPr>
            <w:tcW w:w="440" w:type="dxa"/>
            <w:vAlign w:val="bottom"/>
          </w:tcPr>
          <w:p>
            <w:pPr>
              <w:spacing w:after="0"/>
              <w:rPr>
                <w:sz w:val="16"/>
                <w:szCs w:val="16"/>
                <w:color w:val="auto"/>
              </w:rPr>
            </w:pPr>
          </w:p>
        </w:tc>
        <w:tc>
          <w:tcPr>
            <w:tcW w:w="122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Basic EPS</w:t>
            </w:r>
          </w:p>
        </w:tc>
        <w:tc>
          <w:tcPr>
            <w:tcW w:w="380" w:type="dxa"/>
            <w:vAlign w:val="bottom"/>
          </w:tcPr>
          <w:p>
            <w:pPr>
              <w:spacing w:after="0"/>
              <w:rPr>
                <w:sz w:val="16"/>
                <w:szCs w:val="16"/>
                <w:color w:val="auto"/>
              </w:rPr>
            </w:pPr>
          </w:p>
        </w:tc>
        <w:tc>
          <w:tcPr>
            <w:tcW w:w="12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stock</w:t>
            </w:r>
          </w:p>
        </w:tc>
        <w:tc>
          <w:tcPr>
            <w:tcW w:w="38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229"/>
        </w:trPr>
        <w:tc>
          <w:tcPr>
            <w:tcW w:w="2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equivalents</w:t>
            </w: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EPS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equivalents</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EPS</w:t>
            </w: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jc w:val="center"/>
              <w:ind w:right="1010"/>
              <w:spacing w:after="0"/>
              <w:rPr>
                <w:sz w:val="20"/>
                <w:szCs w:val="20"/>
                <w:color w:val="auto"/>
              </w:rPr>
            </w:pPr>
            <w:r>
              <w:rPr>
                <w:rFonts w:ascii="Arial" w:cs="Arial" w:eastAsia="Arial" w:hAnsi="Arial"/>
                <w:sz w:val="18"/>
                <w:szCs w:val="18"/>
                <w:b w:val="1"/>
                <w:bCs w:val="1"/>
                <w:color w:val="auto"/>
                <w:w w:val="98"/>
              </w:rPr>
              <w:t>July 29, 2023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20"/>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336,231</w:t>
            </w:r>
          </w:p>
        </w:tc>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b w:val="1"/>
                <w:bCs w:val="1"/>
                <w:color w:val="auto"/>
              </w:rPr>
              <w:t>1,701</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337,932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337,140</w:t>
            </w:r>
          </w:p>
        </w:tc>
        <w:tc>
          <w:tcPr>
            <w:tcW w:w="3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1,863</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339,003</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jc w:val="center"/>
              <w:ind w:right="1030"/>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(0.01)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jc w:val="center"/>
              <w:ind w:right="1050"/>
              <w:spacing w:after="0"/>
              <w:rPr>
                <w:sz w:val="20"/>
                <w:szCs w:val="20"/>
                <w:color w:val="auto"/>
              </w:rPr>
            </w:pPr>
            <w:r>
              <w:rPr>
                <w:rFonts w:ascii="Arial" w:cs="Arial" w:eastAsia="Arial" w:hAnsi="Arial"/>
                <w:sz w:val="18"/>
                <w:szCs w:val="18"/>
                <w:color w:val="auto"/>
                <w:w w:val="98"/>
              </w:rPr>
              <w:t>July 30, 2022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jc w:val="center"/>
              <w:ind w:right="105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344,884</w:t>
            </w:r>
          </w:p>
        </w:tc>
        <w:tc>
          <w:tcPr>
            <w:tcW w:w="22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1,222</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346,106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345,969</w:t>
            </w:r>
          </w:p>
        </w:tc>
        <w:tc>
          <w:tcPr>
            <w:tcW w:w="38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1,501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347,470</w:t>
            </w:r>
          </w:p>
        </w:tc>
        <w:tc>
          <w:tcPr>
            <w:tcW w:w="0" w:type="dxa"/>
            <w:vAlign w:val="bottom"/>
          </w:tcPr>
          <w:p>
            <w:pPr>
              <w:spacing w:after="0"/>
              <w:rPr>
                <w:sz w:val="1"/>
                <w:szCs w:val="1"/>
                <w:color w:val="auto"/>
              </w:rPr>
            </w:pPr>
          </w:p>
        </w:tc>
      </w:tr>
      <w:tr>
        <w:trPr>
          <w:trHeight w:val="230"/>
        </w:trPr>
        <w:tc>
          <w:tcPr>
            <w:tcW w:w="2240" w:type="dxa"/>
            <w:vAlign w:val="bottom"/>
            <w:tcBorders>
              <w:bottom w:val="single" w:sz="8" w:color="auto"/>
            </w:tcBorders>
            <w:shd w:val="clear" w:color="auto" w:fill="CCEEFF"/>
          </w:tcPr>
          <w:p>
            <w:pPr>
              <w:jc w:val="center"/>
              <w:ind w:right="1010"/>
              <w:spacing w:after="0"/>
              <w:rPr>
                <w:sz w:val="20"/>
                <w:szCs w:val="20"/>
                <w:color w:val="auto"/>
              </w:rPr>
            </w:pPr>
            <w:r>
              <w:rPr>
                <w:rFonts w:ascii="Arial" w:cs="Arial" w:eastAsia="Arial" w:hAnsi="Arial"/>
                <w:sz w:val="18"/>
                <w:szCs w:val="18"/>
                <w:color w:val="auto"/>
                <w:w w:val="99"/>
              </w:rPr>
              <w:t>Amount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Debt</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Unsecured senior debt (the “Senior Notes”), net of unamortized discounts and debt issuance costs, consisted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18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January 28, 2023</w:t>
            </w:r>
          </w:p>
        </w:tc>
        <w:tc>
          <w:tcPr>
            <w:tcW w:w="5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color w:val="auto"/>
              </w:rPr>
              <w:t>3.375% Senior Notes due 2024</w:t>
            </w: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249,484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249,257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249,032</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4.600% Senior Notes due 2025</w:t>
            </w:r>
          </w:p>
        </w:tc>
        <w:tc>
          <w:tcPr>
            <w:tcW w:w="1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697,800</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697,161</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696,523</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0.875% Senior Notes due 2026</w:t>
            </w:r>
          </w:p>
        </w:tc>
        <w:tc>
          <w:tcPr>
            <w:tcW w:w="186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496,652</w:t>
            </w:r>
          </w:p>
        </w:tc>
        <w:tc>
          <w:tcPr>
            <w:tcW w:w="36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496,038</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495,425</w:t>
            </w: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4.700% Senior Notes due 2027</w:t>
            </w:r>
          </w:p>
        </w:tc>
        <w:tc>
          <w:tcPr>
            <w:tcW w:w="1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240,116</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239,899</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239,684</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4.800% Senior Notes due 2030</w:t>
            </w:r>
          </w:p>
        </w:tc>
        <w:tc>
          <w:tcPr>
            <w:tcW w:w="1860" w:type="dxa"/>
            <w:vAlign w:val="bottom"/>
          </w:tcPr>
          <w:p>
            <w:pPr>
              <w:spacing w:after="0"/>
              <w:rPr>
                <w:sz w:val="19"/>
                <w:szCs w:val="19"/>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rPr>
              <w:t>132,688</w:t>
            </w:r>
          </w:p>
        </w:tc>
        <w:tc>
          <w:tcPr>
            <w:tcW w:w="36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132,602</w:t>
            </w:r>
          </w:p>
        </w:tc>
        <w:tc>
          <w:tcPr>
            <w:tcW w:w="5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132,516</w:t>
            </w: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1.875% Senior Notes due 2031</w:t>
            </w:r>
          </w:p>
        </w:tc>
        <w:tc>
          <w:tcPr>
            <w:tcW w:w="18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495,537</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495,254</w:t>
            </w:r>
          </w:p>
        </w:tc>
        <w:tc>
          <w:tcPr>
            <w:tcW w:w="5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494,972</w:t>
            </w: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5.450% Senior Notes due 2050</w:t>
            </w:r>
          </w:p>
        </w:tc>
        <w:tc>
          <w:tcPr>
            <w:tcW w:w="18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146,338</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146,299</w:t>
            </w:r>
          </w:p>
        </w:tc>
        <w:tc>
          <w:tcPr>
            <w:tcW w:w="5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146,261</w:t>
            </w:r>
          </w:p>
        </w:tc>
      </w:tr>
      <w:tr>
        <w:trPr>
          <w:trHeight w:val="230"/>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2,458,615</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2,456,510</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2,454,413</w:t>
            </w:r>
          </w:p>
        </w:tc>
      </w:tr>
    </w:tbl>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on all Senior Notes is payable semi-annually and the Senior Notes are subject to prepayment penalties for early payment of principal.</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July 29, 2023, January 28, 2023, and July 30, 2022, total unamortized discount and debt issuance costs were $16.4 million, $18.5 million, and $20.6 million, respectively, and were classified as a reduction of Long-term debt.</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aggregate fair value of the seven outstanding series of Senior Notes was approximately $2.3 billion as of July 29, 2023 and January 28, 2023, and approximately $2.4 billion as of July 30, 2022. The fair value is estimated by obtaining comparable market quotes which are considered to be Level 1 inputs under the fair value measurements and disclosures guidance.</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Revolving credit facilities. </w:t>
      </w:r>
      <w:r>
        <w:rPr>
          <w:rFonts w:ascii="Arial" w:cs="Arial" w:eastAsia="Arial" w:hAnsi="Arial"/>
          <w:sz w:val="18"/>
          <w:szCs w:val="18"/>
          <w:color w:val="auto"/>
        </w:rPr>
        <w:t>The Company’s $1.3 billion senior unsecured revolving credit facility (“Credit Facility”) expires in February 2027</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be extended at the Company’s request for up to two additional one-year periods subject to customary conditions. The Credit Facility contains a $300 million sublimit for issuance of standby letters of credit. It also contains an option allowing the Company to increase the size of its Credit Facility by up to an additional $700 million, with the agreement of the committing lenders. Interest on borrowings under this Credit Facility is a term rate based on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3" w:name="page14"/>
    <w:bookmarkEnd w:id="13"/>
    <w:p>
      <w:pPr>
        <w:jc w:val="both"/>
        <w:spacing w:after="0" w:line="275" w:lineRule="auto"/>
        <w:rPr>
          <w:sz w:val="20"/>
          <w:szCs w:val="20"/>
          <w:color w:val="auto"/>
        </w:rPr>
      </w:pPr>
      <w:r>
        <w:rPr>
          <w:rFonts w:ascii="Arial" w:cs="Arial" w:eastAsia="Arial" w:hAnsi="Arial"/>
          <w:sz w:val="18"/>
          <w:szCs w:val="18"/>
          <w:color w:val="auto"/>
        </w:rPr>
        <w:t>Secured Overnight Financing Rate (“Term SOFR”) (or an alternate benchmark rate, if Term SOFR is no longer available) plus an applicable margin and is payable quarterly and upon maturity.</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Facility is subject to a quarterly Consolidated Adjusted Debt to Consolidated EBITDAR financial leverage ratio covenant. As of July 29, 2023, the Company was in compliance with the financial covenant, had no borrowings or standby letters of credit outstanding under the Credit Facility, and the $1.3 billion Credit Facility remained in place and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components of interest expense and income for the three and six month periods ended July 29, 2023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July 30, 2022: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July 30, 2022</w:t>
            </w: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21,133</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42,299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42,279</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Other interest expense</w:t>
            </w:r>
          </w:p>
        </w:tc>
        <w:tc>
          <w:tcPr>
            <w:tcW w:w="3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372</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745</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(2,818)</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(4,926)</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3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(55,901)</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(106,729)</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(37,214)</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2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(68,611)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28,363</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Taxes on Earnings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effective tax rates for the three month periods ended July 29, 2023 and July 30, 2022, were approximately 25% and 24%, respectively. The Company’s effective tax rate for the six month periods ended July 29, 2023 and July 30, 2022, was approximately 24%. The Company’s effective tax rate is impacted by changes in tax law and accounting guidance, location of new stores, level of earnings, tax effects associated with stock-based compensation, and uncertain tax positions.</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July 29, 2023, January 28, 2023, and July 30, 2022, the reserves for unrecognized tax benefits were $63.3 million, $60.6 million, and $69.3 million, inclusive of $7.5 million, $7.1 million, and $8.5 million of related interest and penalties, respectively. The Company accounts for interest and penalties related to unrecognized tax benefits as a part of its provision for taxes on earnings. If recognized, $50.6 million would impact the Company’s effective tax rate. It is reasonably possible that certain federal and state tax matters may be concluded or statutes of limitations may lapse during the next 12 months. Accordingly, the total amount of unrecognized tax benefits may decrease by up to $13.1 million. The difference between the total amount of unrecognized tax benefits and the amounts that would impact the effective tax rate relates to amounts attributable to deferred income tax assets and liabilities. These amounts are net of federal and state income taxes.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open to audit by the Internal Revenue Service under the statute of limitations for fiscal years 2019 through 2022. The Company’s state income tax returns are generally open to audit under the various statutes of limitations for fiscal years 2018 through 2022. Certain federal and state tax returns are currently under audit by various tax authorities. The Company does not expect the results of these audits to have a material impact on the condensed consolidated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Ross Stores, Inc.:</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Information</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reviewed the accompanying condensed consolidated balance sheets of Ross Stores, Inc. and subsidiaries (the “Company”) as of July 29, 2023 and July 30, 2022, the related condensed consolidated statements of earnings, comprehensive income, and stockholders’ equity, for the three and six month periods ended July 29, 2023 and July 30, 2022, and cash flows for the six month periods ended July 29, 2023 and July 30, 2022,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January 28, 2023, and the related consolidated statements of earnings, comprehensive income, stockholders’ equity, and cash flows for the year then ended (not presented herein); and in our report dated March 27, 2023, we expressed an unqualified opinion on those consolidated financial statements. In our opinion, the information set forth in the accompanying condensed consolidated balance sheet as of January 28, 2023, is fairly stated, in all material respects, in relation to the consolidated balance sheet from which it has been derived.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section and other parts of this Form 10-Q contain forward-looking statements that involve risks and uncertainties. Our actual results may differ materially from the results discussed in the forward-looking statements. Factors that might cause such differences include, but are not limited to, those discussed below under the caption “Forward-Looking Statements” and also those in Part I, Item 1A (Risk Factors) of our Annual Report on Form 10-K for fiscal 2022. The following discussion should be read in conjunction with the condensed consolidated financial statements and notes thereto included elsewhere in this Quarterly Report on Form 10-Q and in conjunction with the consolidated financial statements and notes thereto in our Annual Report on Form 10-K for fiscal 2022. All information is based on our fiscal calendar.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Ross Stores, Inc. operates two brands of off-price retail apparel and home fashion stores—Ross Dress for Less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(“Ross”) and dd’s DISCOUNTS</w:t>
      </w:r>
      <w:r>
        <w:rPr>
          <w:rFonts w:ascii="Arial" w:cs="Arial" w:eastAsia="Arial" w:hAnsi="Arial"/>
          <w:sz w:val="23"/>
          <w:szCs w:val="23"/>
          <w:color w:val="auto"/>
          <w:vertAlign w:val="superscript"/>
        </w:rPr>
        <w:t>®</w:t>
      </w:r>
      <w:r>
        <w:rPr>
          <w:rFonts w:ascii="Arial" w:cs="Arial" w:eastAsia="Arial" w:hAnsi="Arial"/>
          <w:sz w:val="18"/>
          <w:szCs w:val="18"/>
          <w:color w:val="auto"/>
        </w:rPr>
        <w:t>. Ross is the largest off-price apparel and home fashion chain in the United States, with 1,722 locations in 41 states, the District of Columbia, and Guam as of July 29, 2023. Ross offers first-quality, in-season, name brand and designer apparel, accessories, footwear, and home fashions for the entire family at savings of 20% to 60% off department and specialty store regular prices every day. We also operate 339 dd’s DISCOUNTS stores in 22 states that feature a more moderately-priced assortment of first-quality, in-season, name brand apparel, accessories, footwear, and home fashions for the entire family at savings of 20% to 70% off moderate department and discount store regular prices every day.</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remains uncertainty in the current macroeconomic and geopolitical environments, and prolonged inflationary pressures continue to negatively impact the discretionary spending of our low-to-moderate income customers. As a result of today’s uncertain external conditions and inflationary pressures, shoppers continue to seek even stronger values when visiting our stores. We plan to carefully manage our expenses and inventory, while closely monitoring market share trends for the off-price industry. We believe our market share can continue to grow through continued focus on bringing value and convenience to our consumers.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results for the three and six month periods ended July 29, 2023 and July 30, 2022:</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top w:val="single" w:sz="8" w:color="auto"/>
              <w:bottom w:val="single" w:sz="8" w:color="auto"/>
            </w:tcBorders>
          </w:tcPr>
          <w:p>
            <w:pPr>
              <w:spacing w:after="0"/>
              <w:rPr>
                <w:sz w:val="21"/>
                <w:szCs w:val="21"/>
                <w:color w:val="auto"/>
              </w:rPr>
            </w:pPr>
          </w:p>
        </w:tc>
        <w:tc>
          <w:tcPr>
            <w:tcW w:w="3180" w:type="dxa"/>
            <w:vAlign w:val="bottom"/>
            <w:tcBorders>
              <w:top w:val="single" w:sz="8" w:color="auto"/>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July 29, 2023</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July 30, 2022</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July 30, 2022</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Sales (millions)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rPr>
              <w:t>4,935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4,583</w:t>
            </w:r>
          </w:p>
        </w:tc>
        <w:tc>
          <w:tcPr>
            <w:tcW w:w="36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rPr>
              <w:t>9,430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8,916</w:t>
            </w: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growth (decline)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7.7 %</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5.8 %</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(4.3 %)</w:t>
            </w:r>
          </w:p>
        </w:tc>
      </w:tr>
      <w:tr>
        <w:trPr>
          <w:trHeight w:val="229"/>
        </w:trPr>
        <w:tc>
          <w:tcPr>
            <w:tcW w:w="4300" w:type="dxa"/>
            <w:vAlign w:val="bottom"/>
          </w:tcPr>
          <w:p>
            <w:pPr>
              <w:ind w:left="220"/>
              <w:spacing w:after="0" w:line="230" w:lineRule="exact"/>
              <w:rPr>
                <w:sz w:val="20"/>
                <w:szCs w:val="20"/>
                <w:color w:val="auto"/>
              </w:rPr>
            </w:pPr>
            <w:r>
              <w:rPr>
                <w:rFonts w:ascii="Arial" w:cs="Arial" w:eastAsia="Arial" w:hAnsi="Arial"/>
                <w:sz w:val="18"/>
                <w:szCs w:val="18"/>
                <w:color w:val="auto"/>
              </w:rPr>
              <w:t>Comparable store sales growth (decline)</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5 %</w:t>
            </w:r>
          </w:p>
        </w:tc>
        <w:tc>
          <w:tcPr>
            <w:tcW w:w="38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(7 %)</w:t>
            </w:r>
          </w:p>
        </w:tc>
        <w:tc>
          <w:tcPr>
            <w:tcW w:w="3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3 %</w:t>
            </w:r>
          </w:p>
        </w:tc>
        <w:tc>
          <w:tcPr>
            <w:tcW w:w="38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(7 %)</w:t>
            </w:r>
          </w:p>
        </w:tc>
      </w:tr>
      <w:tr>
        <w:trPr>
          <w:trHeight w:val="270"/>
        </w:trPr>
        <w:tc>
          <w:tcPr>
            <w:tcW w:w="4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30"/>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Costs and expenses (as a percent of sales)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72.3 %</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74.2 %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72.8 %</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74.0 %</w:t>
            </w:r>
          </w:p>
        </w:tc>
      </w:tr>
      <w:tr>
        <w:trPr>
          <w:trHeight w:val="230"/>
        </w:trPr>
        <w:tc>
          <w:tcPr>
            <w:tcW w:w="43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16.4 %</w:t>
            </w:r>
          </w:p>
        </w:tc>
        <w:tc>
          <w:tcPr>
            <w:tcW w:w="3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14.5 %</w:t>
            </w:r>
          </w:p>
        </w:tc>
        <w:tc>
          <w:tcPr>
            <w:tcW w:w="36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b w:val="1"/>
                <w:bCs w:val="1"/>
                <w:color w:val="auto"/>
              </w:rPr>
              <w:t>16.5 %</w:t>
            </w:r>
          </w:p>
        </w:tc>
        <w:tc>
          <w:tcPr>
            <w:tcW w:w="380" w:type="dxa"/>
            <w:vAlign w:val="bottom"/>
          </w:tcPr>
          <w:p>
            <w:pPr>
              <w:spacing w:after="0"/>
              <w:rPr>
                <w:sz w:val="19"/>
                <w:szCs w:val="19"/>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15.0 %</w:t>
            </w:r>
          </w:p>
        </w:tc>
      </w:tr>
      <w:tr>
        <w:trPr>
          <w:trHeight w:val="229"/>
        </w:trPr>
        <w:tc>
          <w:tcPr>
            <w:tcW w:w="4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(0.8 %)</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(0.7 %)</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0.3 %</w:t>
            </w:r>
          </w:p>
        </w:tc>
      </w:tr>
      <w:tr>
        <w:trPr>
          <w:trHeight w:val="270"/>
        </w:trPr>
        <w:tc>
          <w:tcPr>
            <w:tcW w:w="4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taxes (as a percent of sales)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12.1 %</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11.0 %</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11.4 %</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10.7 %</w:t>
            </w:r>
          </w:p>
        </w:tc>
      </w:tr>
      <w:tr>
        <w:trPr>
          <w:trHeight w:val="270"/>
        </w:trPr>
        <w:tc>
          <w:tcPr>
            <w:tcW w:w="4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(as a percent of sales)</w:t>
            </w: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9.0 %</w:t>
            </w: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8.4 %</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8.7 %</w:t>
            </w:r>
          </w:p>
        </w:tc>
        <w:tc>
          <w:tcPr>
            <w:tcW w:w="3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8.1 %</w:t>
            </w:r>
          </w:p>
        </w:tc>
      </w:tr>
    </w:tbl>
    <w:p>
      <w:pPr>
        <w:ind w:left="120" w:hanging="94"/>
        <w:spacing w:after="0" w:line="209" w:lineRule="auto"/>
        <w:tabs>
          <w:tab w:leader="none" w:pos="1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Comparable stores are stores open for more than 14 complete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b w:val="1"/>
          <w:bCs w:val="1"/>
          <w:color w:val="auto"/>
        </w:rPr>
        <w:t xml:space="preserve">Stores. </w:t>
      </w:r>
      <w:r>
        <w:rPr>
          <w:rFonts w:ascii="Arial" w:cs="Arial" w:eastAsia="Arial" w:hAnsi="Arial"/>
          <w:sz w:val="18"/>
          <w:szCs w:val="18"/>
          <w:color w:val="auto"/>
        </w:rPr>
        <w:t>Our long-term strategy is to open additional stores based on market penetration, local demographic characteristics, 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store profitability, and the ability to leverage overhead expenses. We continually evaluate opportunistic real estate acquisitions and opportunities for potential new store locations. We also evaluate our current store locations and determine store closures based on similar criteria.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opened 27 new stores in the second quarter of fiscal 2023 and remain on track to open a total of approximately 100 locations this year.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summarizes the stores opened and closed during the three and six month periods ended July 29, 2023 and July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Store Count</w:t>
            </w:r>
          </w:p>
        </w:tc>
        <w:tc>
          <w:tcPr>
            <w:tcW w:w="342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c>
          <w:tcPr>
            <w:tcW w:w="3260" w:type="dxa"/>
            <w:vAlign w:val="bottom"/>
            <w:tcBorders>
              <w:top w:val="single" w:sz="8" w:color="auto"/>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July 29, 2023</w:t>
            </w:r>
          </w:p>
        </w:tc>
        <w:tc>
          <w:tcPr>
            <w:tcW w:w="1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July 30, 2022</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July 30, 2022</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Ross Dress for Less</w:t>
            </w:r>
          </w:p>
        </w:tc>
        <w:tc>
          <w:tcPr>
            <w:tcW w:w="18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Beginning of the period</w:t>
            </w: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1,704</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1,648</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1,693</w:t>
            </w:r>
          </w:p>
        </w:tc>
        <w:tc>
          <w:tcPr>
            <w:tcW w:w="34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Opened in the period</w:t>
            </w: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18</w:t>
            </w:r>
          </w:p>
        </w:tc>
        <w:tc>
          <w:tcPr>
            <w:tcW w:w="1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1</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Closed in the period</w:t>
            </w: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18"/>
                <w:szCs w:val="18"/>
                <w:color w:val="auto"/>
              </w:rPr>
              <w:t xml:space="preserve">(2) </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Ross Dress for Less stores end of period</w:t>
            </w:r>
          </w:p>
        </w:tc>
        <w:tc>
          <w:tcPr>
            <w:tcW w:w="1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1,722</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1,669</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1,722</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dd’s DISCOUNTS</w:t>
            </w:r>
          </w:p>
        </w:tc>
        <w:tc>
          <w:tcPr>
            <w:tcW w:w="18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330</w:t>
            </w:r>
          </w:p>
        </w:tc>
        <w:tc>
          <w:tcPr>
            <w:tcW w:w="16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303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Opened in the period</w:t>
            </w:r>
          </w:p>
        </w:tc>
        <w:tc>
          <w:tcPr>
            <w:tcW w:w="1820" w:type="dxa"/>
            <w:vAlign w:val="bottom"/>
          </w:tcPr>
          <w:p>
            <w:pPr>
              <w:jc w:val="right"/>
              <w:ind w:right="250"/>
              <w:spacing w:after="0"/>
              <w:rPr>
                <w:sz w:val="20"/>
                <w:szCs w:val="20"/>
                <w:color w:val="auto"/>
              </w:rPr>
            </w:pPr>
            <w:r>
              <w:rPr>
                <w:rFonts w:ascii="Arial" w:cs="Arial" w:eastAsia="Arial" w:hAnsi="Arial"/>
                <w:sz w:val="18"/>
                <w:szCs w:val="18"/>
                <w:b w:val="1"/>
                <w:bCs w:val="1"/>
                <w:color w:val="auto"/>
              </w:rPr>
              <w:t>9</w:t>
            </w: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34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Closed in the period</w:t>
            </w:r>
          </w:p>
        </w:tc>
        <w:tc>
          <w:tcPr>
            <w:tcW w:w="1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dd’s DISCOUNTS stores end of period</w:t>
            </w: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339</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stores end of period</w:t>
            </w:r>
          </w:p>
        </w:tc>
        <w:tc>
          <w:tcPr>
            <w:tcW w:w="18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2,061</w:t>
            </w:r>
          </w:p>
        </w:tc>
        <w:tc>
          <w:tcPr>
            <w:tcW w:w="16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1,980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 w:hanging="74"/>
        <w:spacing w:after="0"/>
        <w:tabs>
          <w:tab w:leader="none" w:pos="1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Includes the reopening of a store previously temporarily closed due to a weather event.</w:t>
      </w:r>
    </w:p>
    <w:p>
      <w:pPr>
        <w:spacing w:after="0" w:line="30"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the temporary closure of a store impacted by a weather event.</w:t>
      </w:r>
    </w:p>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Sales for the three month period ended July 29, 2023 increased $351.9 million, or 7.7%, compared to the three 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July 30, 2022, primarily due to a 5% comparable store sales increase and the opening of 81 net new stores between July 30, 2022 and July 29, 2023.</w:t>
      </w:r>
    </w:p>
    <w:p>
      <w:pPr>
        <w:spacing w:after="0" w:line="20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Sales for the six month period ended July 29, 2023 increased $513.5 million, or 5.8%, compared to the six month period ended July 30, 2022, primarily due to a 3% comparable store sales increase and the opening of 81 net new stores between July 30, 2022 and July 29,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sales mix for the three and six month periods ended July 29, 2023 and July 30, 2022 is shown below:</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760" w:type="dxa"/>
            <w:vAlign w:val="bottom"/>
            <w:tcBorders>
              <w:top w:val="single" w:sz="8" w:color="auto"/>
            </w:tcBorders>
          </w:tcPr>
          <w:p>
            <w:pPr>
              <w:spacing w:after="0"/>
              <w:rPr>
                <w:sz w:val="21"/>
                <w:szCs w:val="21"/>
                <w:color w:val="auto"/>
              </w:rPr>
            </w:pPr>
          </w:p>
        </w:tc>
        <w:tc>
          <w:tcPr>
            <w:tcW w:w="3080" w:type="dxa"/>
            <w:vAlign w:val="bottom"/>
            <w:tcBorders>
              <w:top w:val="single" w:sz="8" w:color="auto"/>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top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2"/>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6"/>
        </w:trPr>
        <w:tc>
          <w:tcPr>
            <w:tcW w:w="47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July 29, 2023</w:t>
            </w:r>
          </w:p>
        </w:tc>
        <w:tc>
          <w:tcPr>
            <w:tcW w:w="154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July 30, 2022</w:t>
            </w: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July 29, 2023</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Home Accents and Bed and Bath</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25 %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Ladies</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24 %</w:t>
            </w:r>
          </w:p>
        </w:tc>
        <w:tc>
          <w:tcPr>
            <w:tcW w:w="1360" w:type="dxa"/>
            <w:vAlign w:val="bottom"/>
          </w:tcPr>
          <w:p>
            <w:pPr>
              <w:jc w:val="right"/>
              <w:spacing w:after="0"/>
              <w:rPr>
                <w:sz w:val="20"/>
                <w:szCs w:val="20"/>
                <w:color w:val="auto"/>
              </w:rPr>
            </w:pPr>
            <w:r>
              <w:rPr>
                <w:rFonts w:ascii="Arial" w:cs="Arial" w:eastAsia="Arial" w:hAnsi="Arial"/>
                <w:sz w:val="18"/>
                <w:szCs w:val="18"/>
                <w:color w:val="auto"/>
              </w:rPr>
              <w:t>25 %</w:t>
            </w:r>
          </w:p>
        </w:tc>
        <w:tc>
          <w:tcPr>
            <w:tcW w:w="18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rPr>
              <w:t>24 %</w:t>
            </w:r>
          </w:p>
        </w:tc>
        <w:tc>
          <w:tcPr>
            <w:tcW w:w="140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Men’s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15 %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Accessories, Lingerie, Fine Jewelry, and Cosmetics</w:t>
            </w: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rPr>
              <w:t>15 %</w:t>
            </w:r>
          </w:p>
        </w:tc>
        <w:tc>
          <w:tcPr>
            <w:tcW w:w="1360" w:type="dxa"/>
            <w:vAlign w:val="bottom"/>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rPr>
              <w:t>15 %</w:t>
            </w:r>
          </w:p>
        </w:tc>
        <w:tc>
          <w:tcPr>
            <w:tcW w:w="14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Shoes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13 %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13 %</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Children’s</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8 %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8 %</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30"/>
        </w:trPr>
        <w:tc>
          <w:tcPr>
            <w:tcW w:w="4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100 %</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intend to address the uncertain and competitive climate for apparel and home goods by pursuing and refining our existing strategies, continuing to strengthen our merchant organization, refining our merchandise mix, and further</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jc w:val="both"/>
        <w:spacing w:after="0" w:line="275" w:lineRule="auto"/>
        <w:rPr>
          <w:sz w:val="20"/>
          <w:szCs w:val="20"/>
          <w:color w:val="auto"/>
        </w:rPr>
      </w:pPr>
      <w:r>
        <w:rPr>
          <w:rFonts w:ascii="Arial" w:cs="Arial" w:eastAsia="Arial" w:hAnsi="Arial"/>
          <w:sz w:val="18"/>
          <w:szCs w:val="18"/>
          <w:color w:val="auto"/>
        </w:rPr>
        <w:t>developing our systems to improve our merchandise offerings. We cannot be sure that our strategies and store expansion program will result in sales growth or an increase in net earnings.</w:t>
      </w:r>
    </w:p>
    <w:p>
      <w:pPr>
        <w:spacing w:after="0" w:line="1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for the three and six month periods ended July 29, 2023 increased $169.8 million and $266.0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respectively, compared to the three and six month periods ended July 30, 2022, primarily due to the respective 5% and 3% comparable store sales increases, higher sales from the opening of 81 net new stores between July 30, 2022 and July 29, 2023, and higher buying costs, partially offset by lower ocean and domestic freight costs.</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Cost of goods sold as a percentage of sales for the three month period ended July 29, 2023 decreased approximately 185 basis points compared to the three month period ended July 30, 2022, primarily due to a 200 basis point increase in merchandise margin mainly due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lower ocean freight costs, a 60 basis point decrease in domestic freight costs, 20 basis points of leverage in occupancy costs, and a 5 basis point decrease in distribution costs. Partially offsetting these items was a 100 basis point increase in buying costs primarily due to higher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 expense.</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Cost of goods sold as a percentage of sales for the six month period ended July 29, 2023 decreased approximately 120 basis points compared to the six month period ended July 30, 2022, primarily due to a 160 basis point increase in merchandise margin mainly due to lower ocean freight costs, a 60 basis point decrease in domestic freight costs, and 10 basis points of leverage in occupancy costs. Partially offsetting these items were an 85 basis point increase in buying costs primarily due to higher incentive compensation expense and a 25 basis point increase in distribution costs primarily due to the deleveraging effect from the opening of our Brookshire, Texas distribution center and higher wages.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expect lower ocean and domestic freight costs and higher incentive compensation expense to continue through fiscal 2023.</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For the three and six month periods ended July 29, 2023, selling,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expenses (“SG&amp;A”) increased $140.8 million and $ 217.6 million, respectively, compared to the three and six month periods ended July 30, 2022. These increases were primarily due to higher incentive compensation expense, higher store wages, and the opening of 81 net new stores between July 30, 2022 and July 29, 2023.</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as a percentage of sales for the three and six month periods ended July 29, 2023 increased 180 and 150 basis points, respectively, compared to the three and six month periods ended July 30, 2022, primarily due to higher incentive compensation expense and higher store wages.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expect SG&amp;A to continue to increase as a result of higher incentive compensation expense and higher store wages.</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Interest (income) expense, net. </w:t>
      </w:r>
      <w:r>
        <w:rPr>
          <w:rFonts w:ascii="Arial" w:cs="Arial" w:eastAsia="Arial" w:hAnsi="Arial"/>
          <w:sz w:val="18"/>
          <w:szCs w:val="18"/>
          <w:color w:val="auto"/>
        </w:rPr>
        <w:t>For the three and six month periods ended July 29, 2023, interest (income) expense, net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$47.9 million and $97.0 million, respectively, compared to the three and six month periods ended July 30, 2022, primarily due to increased interest income from higher interest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expense, net for the three and six month periods ended July 29, 2023 and July 30, 2022 consists of the following:</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74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320" w:type="dxa"/>
            <w:vAlign w:val="bottom"/>
            <w:tcBorders>
              <w:top w:val="single" w:sz="8" w:color="auto"/>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($000)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July 30, 2022</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long-term debt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21,133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21,125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42,299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42,279</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Other interest expense</w:t>
            </w:r>
          </w:p>
        </w:tc>
        <w:tc>
          <w:tcPr>
            <w:tcW w:w="38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rPr>
              <w:t>372</w:t>
            </w:r>
          </w:p>
        </w:tc>
        <w:tc>
          <w:tcPr>
            <w:tcW w:w="440" w:type="dxa"/>
            <w:vAlign w:val="bottom"/>
          </w:tcPr>
          <w:p>
            <w:pPr>
              <w:spacing w:after="0"/>
              <w:rPr>
                <w:sz w:val="19"/>
                <w:szCs w:val="19"/>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b w:val="1"/>
                <w:bCs w:val="1"/>
                <w:color w:val="auto"/>
              </w:rPr>
              <w:t>745</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(2,818)</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(4,926)</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r>
      <w:tr>
        <w:trPr>
          <w:trHeight w:val="230"/>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(55,901)</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(9,689)</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(106,729)</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(10,884)</w:t>
            </w:r>
          </w:p>
        </w:tc>
      </w:tr>
      <w:tr>
        <w:trPr>
          <w:trHeight w:val="230"/>
        </w:trPr>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(37,214)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10,667</w:t>
            </w: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(68,611)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28,363</w:t>
            </w:r>
          </w:p>
        </w:tc>
      </w:tr>
    </w:tbl>
    <w:p>
      <w:pPr>
        <w:spacing w:after="0" w:line="3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Taxes on earnings. </w:t>
      </w:r>
      <w:r>
        <w:rPr>
          <w:rFonts w:ascii="Arial" w:cs="Arial" w:eastAsia="Arial" w:hAnsi="Arial"/>
          <w:sz w:val="18"/>
          <w:szCs w:val="18"/>
          <w:color w:val="auto"/>
        </w:rPr>
        <w:t>Our effective tax rates for the three month periods ended July 29, 2023 and July 30, 2022 were approximately 25% and</w:t>
      </w:r>
      <w:r>
        <w:rPr>
          <w:rFonts w:ascii="Arial" w:cs="Arial" w:eastAsia="Arial" w:hAnsi="Arial"/>
          <w:sz w:val="18"/>
          <w:szCs w:val="18"/>
          <w:b w:val="1"/>
          <w:bCs w:val="1"/>
          <w:color w:val="auto"/>
        </w:rPr>
        <w:t xml:space="preserve"> </w:t>
      </w:r>
      <w:r>
        <w:rPr>
          <w:rFonts w:ascii="Arial" w:cs="Arial" w:eastAsia="Arial" w:hAnsi="Arial"/>
          <w:sz w:val="18"/>
          <w:szCs w:val="18"/>
          <w:color w:val="auto"/>
        </w:rPr>
        <w:t>24%, respectively. Our effective tax rate for the six month periods ended July 29, 2023 and July 30, 2022 was approximately 24%. Our effective tax rate is impacted by changes in tax law and accounting guidance, location of new stores, level of earnings, tax effects associated with stock-based compensation, and uncertain tax positions.</w:t>
      </w:r>
    </w:p>
    <w:p>
      <w:pPr>
        <w:sectPr>
          <w:pgSz w:w="11900" w:h="16838" w:orient="portrait"/>
          <w:cols w:equalWidth="0" w:num="1">
            <w:col w:w="11240"/>
          </w:cols>
          <w:pgMar w:left="320" w:top="9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type w:val="continuous"/>
        </w:sectPr>
      </w:pPr>
    </w:p>
    <w:bookmarkStart w:id="18" w:name="page19"/>
    <w:bookmarkEnd w:id="18"/>
    <w:p>
      <w:pPr>
        <w:jc w:val="both"/>
        <w:spacing w:after="0" w:line="268" w:lineRule="auto"/>
        <w:rPr>
          <w:sz w:val="20"/>
          <w:szCs w:val="20"/>
          <w:color w:val="auto"/>
        </w:rPr>
      </w:pPr>
      <w:r>
        <w:rPr>
          <w:rFonts w:ascii="Arial" w:cs="Arial" w:eastAsia="Arial" w:hAnsi="Arial"/>
          <w:sz w:val="18"/>
          <w:szCs w:val="18"/>
          <w:b w:val="1"/>
          <w:bCs w:val="1"/>
          <w:color w:val="auto"/>
        </w:rPr>
        <w:t xml:space="preserve">Net earnings. </w:t>
      </w:r>
      <w:r>
        <w:rPr>
          <w:rFonts w:ascii="Arial" w:cs="Arial" w:eastAsia="Arial" w:hAnsi="Arial"/>
          <w:sz w:val="18"/>
          <w:szCs w:val="18"/>
          <w:color w:val="auto"/>
        </w:rPr>
        <w:t>Net earnings as a percentage of sales for the three month periods ended July 29, 2023 and July 30, 2022 were 9.0% and</w:t>
      </w:r>
      <w:r>
        <w:rPr>
          <w:rFonts w:ascii="Arial" w:cs="Arial" w:eastAsia="Arial" w:hAnsi="Arial"/>
          <w:sz w:val="18"/>
          <w:szCs w:val="18"/>
          <w:b w:val="1"/>
          <w:bCs w:val="1"/>
          <w:color w:val="auto"/>
        </w:rPr>
        <w:t xml:space="preserve"> </w:t>
      </w:r>
      <w:r>
        <w:rPr>
          <w:rFonts w:ascii="Arial" w:cs="Arial" w:eastAsia="Arial" w:hAnsi="Arial"/>
          <w:sz w:val="18"/>
          <w:szCs w:val="18"/>
          <w:color w:val="auto"/>
        </w:rPr>
        <w:t>8.4%, respectively. Net earnings as a percentage of sales for the three month period ended July 29, 2023 was higher primarily due to lower cost of goods sold and higher interest income, partially offset by higher SG&amp;A expenses.</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earnings as a percentage of sales for the six month periods ended July 29, 2023 and July 30, 2022 were 8.7% and 8.1%, respectively. Net earnings as a percentage of sales for the six month period ended July 29, 2023 was higher primarily due to lower cost of goods sold and higher interest income, partially offset by higher SG&amp;A expenses.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Diluted earnings per share for the three month period ended July 29, 2023 was $1.32 compared to $1.11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 period ended July 30, 2022. Diluted earnings per share for the six month period ended July 29, 2023 was $2.41 compared to $2.08 for the six month period ended July 30, 2022. The $0.21 and $ 0.33 increases in the diluted earnings per share for the three and six month periods ended July 29, 2023 were primarily attributable to a 16% and 13% increase in net earnings, respectively, and a 3% reduction in weighted-average diluted shares outstanding largely due to stock repurchases under our stock repurchase program.</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primary sources of funds for our business activities are cash flows from operations and short-term trade credit. Our primary ongoing cash requirements are for merchandise inventory purchases, payroll, operating and variable lease costs, taxes, capital expenditures in connection with new and existing stores, and investments in distribution centers, information systems, and buying and corporate offices. We also use cash to repurchase stock under active stock repurchase programs, pay dividends, and repay debt as it becomes due.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3260" w:type="dxa"/>
            <w:vAlign w:val="bottom"/>
            <w:tcBorders>
              <w:top w:val="single" w:sz="8" w:color="auto"/>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29, 2023</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July 30, 2022</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1,116,281</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(56,265)</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(363,459)</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(243,346)</w:t>
            </w:r>
          </w:p>
        </w:tc>
      </w:tr>
      <w:tr>
        <w:trPr>
          <w:trHeight w:val="230"/>
        </w:trPr>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(719,766)</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(718,935)</w:t>
            </w:r>
          </w:p>
        </w:tc>
      </w:tr>
      <w:tr>
        <w:trPr>
          <w:trHeight w:val="230"/>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increase (decrease) in cash, cash equivalents, and restricted cash and cash equivalents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33,056</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(1,018,546)</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was $1.1 billion for the six month period ended July 29, 2023. This was primarily driven by net earnings excluding non-cash expenses for depreciation, amortization, and stock-based compensation. Net cash used in operating activities was $0.1 billion for the six month period ended July 30, 2022. This was primarily driven by higher packaway inventory receipts and higher associated payments, combined with shorter payment terms, and by payment of fiscal 2021 incentive bonuses, partially offset by net earnings excluding non-cash expenses for depreciation, amortization, and stock-based compensation.</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cash flow provided by operating activities for the six month period ended July 29, 2023 compared to the same period in the prior year was primarily driven by higher accounts payable leverage (defined as accounts payable divided by merchandise inventory), lower incentive compensation payments, and higher net earnings.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Accounts payable leverage was 94% and 77% as of July 29, 2023 and July 30, 2022, respectively. The increase in accounts payable leverage was primarily due to the timing of inventory receipts and related payments versus last year.</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regular part of our business, packaway inventory levels will vary over time based on availability of compelling merchandise purchase opportunities in the marketplace and our decisions on the timing for release of that inventory to our stores. Packaway merchandise is purchased with the intent that it will be stored in our warehouses until a later date.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typically packaway remains in storage for less than six months. We expect to continue to take advantage of packaway inventory opportunities to maximize our ability to deliver bargains to our customers.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Changes in packaway inventory levels impact our operating cash flow. As of July 29, 2023, packaway inventory was 38% of total inventory, compared to 40% at the end of fiscal 2022. As of July 30, 2022, packaway inventory was 41% of total inventory, compared to 40% at the end of fiscal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cash used in investing activities was $363.5 million and $243.3 million for the six month periods ended July 29, 2023 and July 30, 2022, respectively, and was related to our capital expenditures. Our capital expenditures include costs to build, expand, and improve distribution centers, open new stores and improve existing stores, and for various other expenditures related to our information technology systems and buying and corporate offices.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cash used in investing activities for the six month period ended July 29, 2023, compared to the same period in the prior year, was primarily due to higher capital expenditures related to the construction of our new Buckeye, Arizona distribution center, the construction and build-out of new stores, and various information technology projects.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for fiscal 2023 are currently projected to be approximately $800 million. Our planned capital expenditures for fiscal 2023 are for investments in our supply chain to support long-term growth, including construction of our next distribution centers, costs for fixtures and leasehold improvements to open new Ross and dd’s DISCOUNTS stores, investments in information technology systems, and for various other expenditures related to our stores, distribution centers, and buying and corporate offices. We expect to fund capital expenditures with available cash.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cash used in financing activities was $719.8 million and $718.9 million for the six month periods ended July 29, 2023 and July 30, 2022, respectively, primarily resulting from stock repurchases under our current stock repurchase program and payment of dividends.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Revolving credit facilities. </w:t>
      </w:r>
      <w:r>
        <w:rPr>
          <w:rFonts w:ascii="Arial" w:cs="Arial" w:eastAsia="Arial" w:hAnsi="Arial"/>
          <w:sz w:val="18"/>
          <w:szCs w:val="18"/>
          <w:color w:val="auto"/>
        </w:rPr>
        <w:t>We have a $1.3 billion senior unsecured revolving credit facility (“Credit Facility”). As of July 29, 2023, we had no</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borrowings or standby letters of credit outstanding under the Credit Facility, the $1.3 billion Credit Facility remained in place and available, and we were in compliance with the financial covenant. Refer to Note E: Debt in the Notes to Condensed Consolidated Financial Statements for additional information.</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As of July 29, 2023, we had approximately $2.5 billion of outstanding unsecured Senior Notes. Refer to Note E: Debt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Notes to Condensed Consolidated Financial Statements for additional information.</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Other financing activities. </w:t>
      </w:r>
      <w:r>
        <w:rPr>
          <w:rFonts w:ascii="Arial" w:cs="Arial" w:eastAsia="Arial" w:hAnsi="Arial"/>
          <w:sz w:val="18"/>
          <w:szCs w:val="18"/>
          <w:color w:val="auto"/>
        </w:rPr>
        <w:t>In March 2022, our Board of Directors approved a two-year program to repurchase up to $1.9 billion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through fiscal 2023.</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six month period ended July 29, 2023, we repurchased 4.3 million shares of common stock for $464.9 million, excluding excise tax due under the Inflation Reduction Act of 2022. We repurchased 5.5 million shares of common stock for $475.0 million during the six month period ended July 30, 2022. During each of the six month periods ended July 29, 2023 and July 30, 2022, we also acquired 0.4 million shares of treasury stock to cover employee tax withholding obligations under our employee equity compensation programs for aggregate purchase prices of approximately $38.4 million and $38.6 million, respectively.</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16, 2023, our Board of Directors declared a quarterly cash dividend of $0.335 per common share, payable on September 29, 2023. The Board of Directors declared a cash dividend of $0.335 per common share in February and May 2023, and $0.310 per common share in March, May, August, and November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 periods ended July 29, 2023 and July 30, 2022, we paid cash dividends of $228.8 million and $217.2 million, respectively.</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Short-term trade credit represents a significant source of financing for our merchandise inventory. Trade credit arises from customary payment terms and trade practices with our vendors. We regularly review the adequacy of credit available to us from all sources and expect to be able to maintain adequate trade credit, bank credit, and other credit sources to meet our capital and liquidity requirements, including lease and interest payment obligations.</w:t>
      </w:r>
    </w:p>
    <w:p>
      <w:pPr>
        <w:sectPr>
          <w:pgSz w:w="11900" w:h="16838" w:orient="portrait"/>
          <w:cols w:equalWidth="0" w:num="1">
            <w:col w:w="11240"/>
          </w:cols>
          <w:pgMar w:left="320" w:top="11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0" w:right="339" w:bottom="1440" w:gutter="0" w:footer="0" w:header="0"/>
          <w:type w:val="continuous"/>
        </w:sectPr>
      </w:pPr>
    </w:p>
    <w:bookmarkStart w:id="20" w:name="page21"/>
    <w:bookmarkEnd w:id="20"/>
    <w:p>
      <w:pPr>
        <w:jc w:val="both"/>
        <w:spacing w:after="0" w:line="256" w:lineRule="auto"/>
        <w:rPr>
          <w:sz w:val="20"/>
          <w:szCs w:val="20"/>
          <w:color w:val="auto"/>
        </w:rPr>
      </w:pPr>
      <w:r>
        <w:rPr>
          <w:rFonts w:ascii="Arial" w:cs="Arial" w:eastAsia="Arial" w:hAnsi="Arial"/>
          <w:sz w:val="18"/>
          <w:szCs w:val="18"/>
          <w:color w:val="auto"/>
        </w:rPr>
        <w:t>We ended the second quarter of fiscal 2023 with $4.6 billion of unrestricted cash balances, which were held primarily in overnight money market funds invested in U.S. treasury and government instruments across a highly diversified set of banks and other financial institutions. We also have $1.3 billion available under our Credit Facility. We estimate that existing cash and cash equivalent balances, cash flows from operations, bank credit, and trade credit are adequate to meet our operating cash needs and to fund our planned capital investments, common stock repurchases, quarterly dividend payments, and interest payment obligations for at least the next 12 months.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significant contractual obligations as of July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($000)</w:t>
            </w:r>
          </w:p>
        </w:tc>
        <w:tc>
          <w:tcPr>
            <w:tcW w:w="2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Greater than</w:t>
            </w:r>
          </w:p>
        </w:tc>
        <w:tc>
          <w:tcPr>
            <w:tcW w:w="3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Total¹</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auto"/>
            </w:tcBorders>
            <w:vMerge w:val="continue"/>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one year</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one year</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contractual obligations:</w:t>
            </w:r>
          </w:p>
        </w:tc>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21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2,474,991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2,474,991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704,810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2,695,278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3,400,088</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New York buying office ground lease</w:t>
            </w:r>
            <w:r>
              <w:rPr>
                <w:rFonts w:ascii="Arial" w:cs="Arial" w:eastAsia="Arial" w:hAnsi="Arial"/>
                <w:sz w:val="23"/>
                <w:szCs w:val="23"/>
                <w:color w:val="auto"/>
                <w:vertAlign w:val="superscript"/>
              </w:rPr>
              <w:t>2</w:t>
            </w:r>
          </w:p>
        </w:tc>
        <w:tc>
          <w:tcPr>
            <w:tcW w:w="21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7,552</w:t>
            </w:r>
          </w:p>
        </w:tc>
        <w:tc>
          <w:tcPr>
            <w:tcW w:w="2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1,105,311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1,112,863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Unrecorded contractual obligations:</w:t>
            </w:r>
          </w:p>
        </w:tc>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line="230" w:lineRule="exact"/>
              <w:rPr>
                <w:sz w:val="20"/>
                <w:szCs w:val="20"/>
                <w:color w:val="auto"/>
              </w:rPr>
            </w:pPr>
            <w:r>
              <w:rPr>
                <w:rFonts w:ascii="Arial" w:cs="Arial" w:eastAsia="Arial" w:hAnsi="Arial"/>
                <w:sz w:val="18"/>
                <w:szCs w:val="18"/>
                <w:color w:val="auto"/>
              </w:rPr>
              <w:t>Real estate obligations</w:t>
            </w:r>
            <w:r>
              <w:rPr>
                <w:rFonts w:ascii="Arial" w:cs="Arial" w:eastAsia="Arial" w:hAnsi="Arial"/>
                <w:sz w:val="23"/>
                <w:szCs w:val="23"/>
                <w:color w:val="auto"/>
                <w:vertAlign w:val="superscript"/>
              </w:rPr>
              <w:t>3</w:t>
            </w:r>
          </w:p>
        </w:tc>
        <w:tc>
          <w:tcPr>
            <w:tcW w:w="21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11,288</w:t>
            </w:r>
          </w:p>
        </w:tc>
        <w:tc>
          <w:tcPr>
            <w:tcW w:w="24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180,365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191,653</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payment obligations</w:t>
            </w:r>
          </w:p>
        </w:tc>
        <w:tc>
          <w:tcPr>
            <w:tcW w:w="2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80,316</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394,976</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475,292</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tcPr>
          <w:p>
            <w:pPr>
              <w:ind w:left="180"/>
              <w:spacing w:after="0" w:line="23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2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4,150,967</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63,030</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4,213,997</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4,954,933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6,913,951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11,868,884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right="20" w:firstLine="6"/>
        <w:spacing w:after="0" w:line="209" w:lineRule="auto"/>
        <w:tabs>
          <w:tab w:leader="none" w:pos="98"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We have a $59.9 million liability for unrecognized tax benefits that is included in Other long-term liabilities on our interim Condensed Consolidated Balance Sheet. This liability is excluded from the schedule above as the timing of payments cannot be reasonably estimated.</w:t>
      </w:r>
    </w:p>
    <w:p>
      <w:pPr>
        <w:ind w:left="120" w:hanging="94"/>
        <w:spacing w:after="0" w:line="222" w:lineRule="auto"/>
        <w:tabs>
          <w:tab w:leader="none" w:pos="1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Our New York buying office building is subject to a 99-year ground lease.</w:t>
      </w:r>
    </w:p>
    <w:p>
      <w:pPr>
        <w:spacing w:after="0" w:line="30" w:lineRule="exact"/>
        <w:rPr>
          <w:rFonts w:ascii="Arial" w:cs="Arial" w:eastAsia="Arial" w:hAnsi="Arial"/>
          <w:sz w:val="19"/>
          <w:szCs w:val="19"/>
          <w:color w:val="auto"/>
          <w:vertAlign w:val="superscript"/>
        </w:rPr>
      </w:pPr>
    </w:p>
    <w:p>
      <w:pPr>
        <w:ind w:left="20"/>
        <w:spacing w:after="0" w:line="225"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Minimum lease payments for leases signed that have not yet commenced.</w:t>
      </w:r>
    </w:p>
    <w:p>
      <w:pPr>
        <w:ind w:left="20" w:right="20" w:firstLine="6"/>
        <w:spacing w:after="0" w:line="208" w:lineRule="auto"/>
        <w:tabs>
          <w:tab w:leader="none" w:pos="98"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Purchase obligations primarily consist of merchandise inventory purchase orders, commitments related to construction projects, store fixtures and supplies, and information technology services, transportation, and maintenance contracts.</w:t>
      </w:r>
    </w:p>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than the unrecorded contractual obligations noted above, we do not have any material off-balance sheet arrangements as of July 29, 2023.</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Standby letters of credit and collateral trust. </w:t>
      </w:r>
      <w:r>
        <w:rPr>
          <w:rFonts w:ascii="Arial" w:cs="Arial" w:eastAsia="Arial" w:hAnsi="Arial"/>
          <w:sz w:val="18"/>
          <w:szCs w:val="18"/>
          <w:color w:val="auto"/>
        </w:rPr>
        <w:t>We use standby letters of credit outside of our Credit Facility in addition to a funded trust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 some of our insurance obligations. As of July 29, 2023 and January 28, 2023, we had $2.6 million in standby letters of credit outstanding and $59.1 million and $57.8 million, respectively, in a collateral trust. As of July 30, 2022, we had $3.3 million in standby letters of credit outstanding and $56.9 million in a collateral trust. The standby letters of credit are collateralized by restricted cash and the collateral trust consists of restricted cash and cash equivalents.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Trade letters of credit. </w:t>
      </w:r>
      <w:r>
        <w:rPr>
          <w:rFonts w:ascii="Arial" w:cs="Arial" w:eastAsia="Arial" w:hAnsi="Arial"/>
          <w:sz w:val="18"/>
          <w:szCs w:val="18"/>
          <w:color w:val="auto"/>
        </w:rPr>
        <w:t>We had $33.7 million, $7.6 million, and $26.6 million in trade letters of credit outstanding at July 29, 2023,</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28, 2023, and July 30,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In August 2023, our Board of Directors declared a cash dividend of $0.335 per common share, payable on September 29,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second quarter of fiscal 2023, there have been no significant changes to the critical accounting estimates discussed in our Annual Report on Form 10-K for the year ended January 28,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Forward-Looking Statements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report contains a number of forward-looking statements regarding, without limitation, projected sales, costs and earnings, planned new store growth, capital expenditures, liquidity, and other matters. These forward-looking statements reflect our then-current beliefs, plans, and estimates with respect to future events and our projected financial performance, operations, and competitive position. The words “plan,” “expect,” “target,” “anticipate,” “estimate,” “believe,” “forecast,” “projected,” “guidance,” “outlook,” “looking ahead,” and similar expressions identify forward-looking statements.</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impact from inflation, interest rate increases, ongoing military conflicts and economic sanctions, the COVID-19 pandemic, climate change, and other economic, regulatory, consumer spending, and industry trends that could potentially adversely affect our revenue, profitability, operating conditions, and growth are difficult to predict. Our forward-looking statements are subject to risks and uncertainties which could cause our actual results to differ materially from those forward-looking statements and our previous expectations, plans, and projections. Such risks are not limited to but may include:</w:t>
      </w:r>
    </w:p>
    <w:p>
      <w:pPr>
        <w:spacing w:after="0" w:line="219" w:lineRule="exact"/>
        <w:rPr>
          <w:sz w:val="20"/>
          <w:szCs w:val="20"/>
          <w:color w:val="auto"/>
        </w:rPr>
      </w:pPr>
    </w:p>
    <w:p>
      <w:pPr>
        <w:jc w:val="both"/>
        <w:ind w:left="66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Impacts from the macroeconomic environment, including inflation, interest rates, housing costs, energy and fuel costs, financial and credit market conditions, recession concerns, geopolitical conditions (including the current Russia-Ukraine conflict), the COVID-19 pandemic, or public health and public safety issues, that affect our costs, consumer confidence, and consumer disposable income.</w:t>
      </w: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Unexpected changes in the level of consumer spending on, or preferences for, apparel and home-related merchandise, which could adversely affect us.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pressures in the apparel and home-related merchandise retailing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effectively manage our inventories, markdowns, and inventory shortage in order to achieve our planned gross margins.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importing and selling merchandise produced in other countries, including risks from supply chain disruption, shipping delays, and higher than expected ocean freight costs.</w:t>
      </w: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Unseasonable weather or extreme temperatures that may affect shopping patterns and consumer demand for seasonal apparel and other merchandise.</w:t>
      </w: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the market availability, quantity, and quality of attractive brand name merchandise at desirable discounts, and on the ability of our buyers to anticipate consumer preferences and to purchase merchandise to enable us to offer customers a wide assortment of merchandise at competitive prices.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or data security breaches, including cyber-attacks on our transaction processing and computer information systems, which could result in theft or unauthorized disclosure of customer, credit card, employee, or other private and valuable information that we handle in the ordinary course of our business.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in our supply chain or in our information systems, including from ransomware or other cyber-attacks, that could impact our ability to process sales and to deliver product to our stores in a timely and cost-effective manner.</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obtain acceptable new store sites with favorable consumer demographics to achieve our planned new store openings.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expand in existing markets and enter new geographic markets in order to achieve planned market penetration.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Consumer problems or legal issues involving the quality, safety, or authenticity of products we sell, which could harm our reputation, result in lost sales, and/or increase our costs.</w:t>
      </w: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adverse outcome in various legal, regulatory, or tax matters, or the adoption of new federal or state tax legislation that increases tax rates or adds new taxes, that could increase our costs.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Damage to our corporate reputation or brands that could adversely affect our sales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continually attract, train, and retain associates with the retail talent necessary to execute our off-price retail strategies.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effectively advertise and market our business.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U.S. tax, tariff, or trade policy regarding apparel and home-related merchandise produced in other countries, which could adversely affect our business.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Possible volatility in our revenues and earnings.</w:t>
      </w:r>
    </w:p>
    <w:p>
      <w:pPr>
        <w:spacing w:after="0" w:line="10" w:lineRule="exact"/>
        <w:rPr>
          <w:rFonts w:ascii="Arial" w:cs="Arial" w:eastAsia="Arial" w:hAnsi="Arial"/>
          <w:sz w:val="18"/>
          <w:szCs w:val="18"/>
          <w:color w:val="auto"/>
        </w:rPr>
      </w:pPr>
    </w:p>
    <w:p>
      <w:pPr>
        <w:ind w:left="660" w:hanging="328"/>
        <w:spacing w:after="0" w:line="251"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18"/>
          <w:szCs w:val="18"/>
          <w:color w:val="auto"/>
        </w:rPr>
        <w:t>An additional public health or public safety crisis, demonstrations, natural or man-made disaster in California or in another region where we have a concentration of stores, offices, or a distribution center that could harm our business.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maintain sufficient liquidity to support our continuing operations and our new store openings.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2" w:name="page23"/>
    <w:bookmarkEnd w:id="22"/>
    <w:p>
      <w:pPr>
        <w:jc w:val="both"/>
        <w:spacing w:after="0" w:line="263" w:lineRule="auto"/>
        <w:rPr>
          <w:sz w:val="20"/>
          <w:szCs w:val="20"/>
          <w:color w:val="auto"/>
        </w:rPr>
      </w:pPr>
      <w:r>
        <w:rPr>
          <w:rFonts w:ascii="Arial" w:cs="Arial" w:eastAsia="Arial" w:hAnsi="Arial"/>
          <w:sz w:val="18"/>
          <w:szCs w:val="18"/>
          <w:color w:val="auto"/>
        </w:rPr>
        <w:t>The factors underlying our forecasts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are exposed to market risks, which primarily include changes in interest rates. We do not engage in financial transactions for trading or speculative purposes.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may occasionally use forward contracts to hedge against fluctuations in foreign currency prices. We had no outstanding forward contracts as of July 29, 2023.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Interest that is payable on our Credit Facility is based on variable interest rates and is therefore affected by changes in market interest rates.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July 29, 2023, we had no borrowings outstanding under the Credit Facility.</w:t>
      </w:r>
    </w:p>
    <w:p>
      <w:pPr>
        <w:spacing w:after="0" w:line="24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July 29, 2023, we have outstanding seven series of unsecured Senior Notes. Interest that is payable on all series of our Senior Notes is based on fixed interest rates, and is therefore unaffected by changes in market interest rates.</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receive interest payments on our cash and cash equivalents and restricted cash and cash equivalents. Changes in interest rates may impact the interest income we recognize in the future.</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hypothetical 100 basis point increase or decrease in prevailing market interest rates would not have had a material negative impact on our condensed consolidated financial position, results of operations, cash flows, or the fair values of our cash and cash equivalents and restricted cash and cash equivalents as of and for the three and six month periods ended July 29, 2023. We do not consider the potential losses in future earnings and cash flows from reasonably possible, near-term changes in interest rates to be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Exchange Act Rule 13a-15(e)) as of the end of the period covered by this report. Our disclosure controls and procedures are designed to provide reasonable assurance of achieving their objectives. Based on that evaluation, our Chief Executive Officer and Chief Financial Officer concluded that our disclosure controls and procedures were effective at that reasonable assurance level as of the end of the period covered by this report.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Evaluation of Changes in Internal Control Over Financial Reporting</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management, with the participation of our Chief Executive Officer and Chief Financial Officer, also conducted an evaluation of our internal control over financial reporting to determine whether any change occurred during the second fiscal quarter of 2023 that has materially affected, or is reasonably likely to materially affect, our internal control over financial reporting. Based on that evaluation, our management concluded that there was no such change during the second fiscal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matters under the caption “Litigation, claims, and assessments” in Note A of Notes to Condensed Consolidated Financial Statements are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See Part I, Item 1A of our Annual Report on Form 10-K for the fiscal year ended January 28, 2023 for a description of risks and uncertainties associated with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shares of common stock we repurchased during the second quarter of fiscal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012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Total number of</w:t>
            </w:r>
          </w:p>
        </w:tc>
        <w:tc>
          <w:tcPr>
            <w:tcW w:w="3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Maximum number</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6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shares</w:t>
            </w:r>
          </w:p>
        </w:tc>
        <w:tc>
          <w:tcPr>
            <w:tcW w:w="38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(or approximate</w:t>
            </w:r>
          </w:p>
        </w:tc>
        <w:tc>
          <w:tcPr>
            <w:tcW w:w="0" w:type="dxa"/>
            <w:vAlign w:val="bottom"/>
          </w:tcPr>
          <w:p>
            <w:pPr>
              <w:spacing w:after="0"/>
              <w:rPr>
                <w:sz w:val="1"/>
                <w:szCs w:val="1"/>
                <w:color w:val="auto"/>
              </w:rPr>
            </w:pPr>
          </w:p>
        </w:tc>
      </w:tr>
      <w:tr>
        <w:trPr>
          <w:trHeight w:val="185"/>
        </w:trPr>
        <w:tc>
          <w:tcPr>
            <w:tcW w:w="2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60" w:type="dxa"/>
            <w:vAlign w:val="bottom"/>
          </w:tcPr>
          <w:p>
            <w:pPr>
              <w:jc w:val="right"/>
              <w:spacing w:after="0" w:line="185" w:lineRule="exact"/>
              <w:rPr>
                <w:sz w:val="20"/>
                <w:szCs w:val="20"/>
                <w:color w:val="auto"/>
              </w:rPr>
            </w:pPr>
            <w:r>
              <w:rPr>
                <w:rFonts w:ascii="Arial" w:cs="Arial" w:eastAsia="Arial" w:hAnsi="Arial"/>
                <w:sz w:val="18"/>
                <w:szCs w:val="18"/>
                <w:b w:val="1"/>
                <w:bCs w:val="1"/>
                <w:color w:val="auto"/>
              </w:rPr>
              <w:t>(or units)</w:t>
            </w:r>
          </w:p>
        </w:tc>
        <w:tc>
          <w:tcPr>
            <w:tcW w:w="380" w:type="dxa"/>
            <w:vAlign w:val="bottom"/>
          </w:tcPr>
          <w:p>
            <w:pPr>
              <w:spacing w:after="0"/>
              <w:rPr>
                <w:sz w:val="16"/>
                <w:szCs w:val="16"/>
                <w:color w:val="auto"/>
              </w:rPr>
            </w:pPr>
          </w:p>
        </w:tc>
        <w:tc>
          <w:tcPr>
            <w:tcW w:w="1720" w:type="dxa"/>
            <w:vAlign w:val="bottom"/>
          </w:tcPr>
          <w:p>
            <w:pPr>
              <w:jc w:val="right"/>
              <w:spacing w:after="0" w:line="185" w:lineRule="exact"/>
              <w:rPr>
                <w:sz w:val="20"/>
                <w:szCs w:val="20"/>
                <w:color w:val="auto"/>
              </w:rPr>
            </w:pPr>
            <w:r>
              <w:rPr>
                <w:rFonts w:ascii="Arial" w:cs="Arial" w:eastAsia="Arial" w:hAnsi="Arial"/>
                <w:sz w:val="18"/>
                <w:szCs w:val="18"/>
                <w:b w:val="1"/>
                <w:bCs w:val="1"/>
                <w:color w:val="auto"/>
              </w:rPr>
              <w:t>dollar value) of</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purchased as</w:t>
            </w:r>
          </w:p>
        </w:tc>
        <w:tc>
          <w:tcPr>
            <w:tcW w:w="380" w:type="dxa"/>
            <w:vAlign w:val="bottom"/>
          </w:tcPr>
          <w:p>
            <w:pPr>
              <w:spacing w:after="0"/>
              <w:rPr>
                <w:sz w:val="15"/>
                <w:szCs w:val="15"/>
                <w:color w:val="auto"/>
              </w:rPr>
            </w:pPr>
          </w:p>
        </w:tc>
        <w:tc>
          <w:tcPr>
            <w:tcW w:w="17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shares (or units)</w:t>
            </w: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 number of</w:t>
            </w:r>
          </w:p>
        </w:tc>
        <w:tc>
          <w:tcPr>
            <w:tcW w:w="2160" w:type="dxa"/>
            <w:vAlign w:val="bottom"/>
          </w:tcPr>
          <w:p>
            <w:pPr>
              <w:spacing w:after="0"/>
              <w:rPr>
                <w:sz w:val="15"/>
                <w:szCs w:val="15"/>
                <w:color w:val="auto"/>
              </w:rPr>
            </w:pPr>
          </w:p>
        </w:tc>
        <w:tc>
          <w:tcPr>
            <w:tcW w:w="196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part of publicly</w:t>
            </w:r>
          </w:p>
        </w:tc>
        <w:tc>
          <w:tcPr>
            <w:tcW w:w="380" w:type="dxa"/>
            <w:vAlign w:val="bottom"/>
          </w:tcPr>
          <w:p>
            <w:pPr>
              <w:spacing w:after="0"/>
              <w:rPr>
                <w:sz w:val="15"/>
                <w:szCs w:val="15"/>
                <w:color w:val="auto"/>
              </w:rPr>
            </w:pPr>
          </w:p>
        </w:tc>
        <w:tc>
          <w:tcPr>
            <w:tcW w:w="1720" w:type="dxa"/>
            <w:vAlign w:val="bottom"/>
          </w:tcPr>
          <w:p>
            <w:pPr>
              <w:jc w:val="right"/>
              <w:spacing w:after="0" w:line="180" w:lineRule="exact"/>
              <w:rPr>
                <w:sz w:val="20"/>
                <w:szCs w:val="20"/>
                <w:color w:val="auto"/>
              </w:rPr>
            </w:pPr>
            <w:r>
              <w:rPr>
                <w:rFonts w:ascii="Arial" w:cs="Arial" w:eastAsia="Arial" w:hAnsi="Arial"/>
                <w:sz w:val="18"/>
                <w:szCs w:val="18"/>
                <w:b w:val="1"/>
                <w:bCs w:val="1"/>
                <w:color w:val="auto"/>
              </w:rPr>
              <w:t>that may yet be</w:t>
            </w:r>
          </w:p>
        </w:tc>
        <w:tc>
          <w:tcPr>
            <w:tcW w:w="0" w:type="dxa"/>
            <w:vAlign w:val="bottom"/>
          </w:tcPr>
          <w:p>
            <w:pPr>
              <w:spacing w:after="0"/>
              <w:rPr>
                <w:sz w:val="1"/>
                <w:szCs w:val="1"/>
                <w:color w:val="auto"/>
              </w:rPr>
            </w:pPr>
          </w:p>
        </w:tc>
      </w:tr>
      <w:tr>
        <w:trPr>
          <w:trHeight w:val="122"/>
        </w:trPr>
        <w:tc>
          <w:tcPr>
            <w:tcW w:w="292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2160" w:type="dxa"/>
            <w:vAlign w:val="bottom"/>
            <w:vMerge w:val="restart"/>
          </w:tcPr>
          <w:p>
            <w:pPr>
              <w:jc w:val="right"/>
              <w:ind w:right="30"/>
              <w:spacing w:after="0" w:line="185" w:lineRule="exact"/>
              <w:rPr>
                <w:sz w:val="20"/>
                <w:szCs w:val="20"/>
                <w:color w:val="auto"/>
              </w:rPr>
            </w:pPr>
            <w:r>
              <w:rPr>
                <w:rFonts w:ascii="Arial" w:cs="Arial" w:eastAsia="Arial" w:hAnsi="Arial"/>
                <w:sz w:val="18"/>
                <w:szCs w:val="18"/>
                <w:b w:val="1"/>
                <w:bCs w:val="1"/>
                <w:color w:val="auto"/>
              </w:rPr>
              <w:t>Average price</w:t>
            </w:r>
          </w:p>
        </w:tc>
        <w:tc>
          <w:tcPr>
            <w:tcW w:w="1960" w:type="dxa"/>
            <w:vAlign w:val="bottom"/>
            <w:vMerge w:val="restart"/>
          </w:tcPr>
          <w:p>
            <w:pPr>
              <w:jc w:val="right"/>
              <w:spacing w:after="0" w:line="185" w:lineRule="exact"/>
              <w:rPr>
                <w:sz w:val="20"/>
                <w:szCs w:val="20"/>
                <w:color w:val="auto"/>
              </w:rPr>
            </w:pPr>
            <w:r>
              <w:rPr>
                <w:rFonts w:ascii="Arial" w:cs="Arial" w:eastAsia="Arial" w:hAnsi="Arial"/>
                <w:sz w:val="18"/>
                <w:szCs w:val="18"/>
                <w:b w:val="1"/>
                <w:bCs w:val="1"/>
                <w:color w:val="auto"/>
              </w:rPr>
              <w:t>announced</w:t>
            </w:r>
          </w:p>
        </w:tc>
        <w:tc>
          <w:tcPr>
            <w:tcW w:w="380" w:type="dxa"/>
            <w:vAlign w:val="bottom"/>
          </w:tcPr>
          <w:p>
            <w:pPr>
              <w:spacing w:after="0"/>
              <w:rPr>
                <w:sz w:val="10"/>
                <w:szCs w:val="10"/>
                <w:color w:val="auto"/>
              </w:rPr>
            </w:pPr>
          </w:p>
        </w:tc>
        <w:tc>
          <w:tcPr>
            <w:tcW w:w="1720" w:type="dxa"/>
            <w:vAlign w:val="bottom"/>
            <w:vMerge w:val="restart"/>
          </w:tcPr>
          <w:p>
            <w:pPr>
              <w:jc w:val="right"/>
              <w:spacing w:after="0" w:line="185" w:lineRule="exact"/>
              <w:rPr>
                <w:sz w:val="20"/>
                <w:szCs w:val="20"/>
                <w:color w:val="auto"/>
              </w:rPr>
            </w:pPr>
            <w:r>
              <w:rPr>
                <w:rFonts w:ascii="Arial" w:cs="Arial" w:eastAsia="Arial" w:hAnsi="Arial"/>
                <w:sz w:val="18"/>
                <w:szCs w:val="18"/>
                <w:b w:val="1"/>
                <w:bCs w:val="1"/>
                <w:color w:val="auto"/>
              </w:rPr>
              <w:t>purchased under</w:t>
            </w:r>
          </w:p>
        </w:tc>
        <w:tc>
          <w:tcPr>
            <w:tcW w:w="0" w:type="dxa"/>
            <w:vAlign w:val="bottom"/>
          </w:tcPr>
          <w:p>
            <w:pPr>
              <w:spacing w:after="0"/>
              <w:rPr>
                <w:sz w:val="1"/>
                <w:szCs w:val="1"/>
                <w:color w:val="auto"/>
              </w:rPr>
            </w:pPr>
          </w:p>
        </w:tc>
      </w:tr>
      <w:tr>
        <w:trPr>
          <w:trHeight w:val="63"/>
        </w:trPr>
        <w:tc>
          <w:tcPr>
            <w:tcW w:w="2920" w:type="dxa"/>
            <w:vAlign w:val="bottom"/>
          </w:tcPr>
          <w:p>
            <w:pPr>
              <w:spacing w:after="0"/>
              <w:rPr>
                <w:sz w:val="5"/>
                <w:szCs w:val="5"/>
                <w:color w:val="auto"/>
              </w:rPr>
            </w:pPr>
          </w:p>
        </w:tc>
        <w:tc>
          <w:tcPr>
            <w:tcW w:w="1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2160" w:type="dxa"/>
            <w:vAlign w:val="bottom"/>
            <w:vMerge w:val="continue"/>
          </w:tcPr>
          <w:p>
            <w:pPr>
              <w:spacing w:after="0"/>
              <w:rPr>
                <w:sz w:val="5"/>
                <w:szCs w:val="5"/>
                <w:color w:val="auto"/>
              </w:rPr>
            </w:pPr>
          </w:p>
        </w:tc>
        <w:tc>
          <w:tcPr>
            <w:tcW w:w="19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920" w:type="dxa"/>
            <w:vAlign w:val="bottom"/>
            <w:vMerge w:val="continue"/>
          </w:tcPr>
          <w:p>
            <w:pPr>
              <w:spacing w:after="0"/>
              <w:rPr>
                <w:sz w:val="15"/>
                <w:szCs w:val="15"/>
                <w:color w:val="auto"/>
              </w:rPr>
            </w:pPr>
          </w:p>
        </w:tc>
        <w:tc>
          <w:tcPr>
            <w:tcW w:w="2160" w:type="dxa"/>
            <w:vAlign w:val="bottom"/>
          </w:tcPr>
          <w:p>
            <w:pPr>
              <w:jc w:val="right"/>
              <w:ind w:right="30"/>
              <w:spacing w:after="0" w:line="176" w:lineRule="exact"/>
              <w:rPr>
                <w:sz w:val="20"/>
                <w:szCs w:val="20"/>
                <w:color w:val="auto"/>
              </w:rPr>
            </w:pPr>
            <w:r>
              <w:rPr>
                <w:rFonts w:ascii="Arial" w:cs="Arial" w:eastAsia="Arial" w:hAnsi="Arial"/>
                <w:sz w:val="18"/>
                <w:szCs w:val="18"/>
                <w:b w:val="1"/>
                <w:bCs w:val="1"/>
                <w:color w:val="auto"/>
              </w:rPr>
              <w:t>paid per share</w:t>
            </w:r>
          </w:p>
        </w:tc>
        <w:tc>
          <w:tcPr>
            <w:tcW w:w="19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plans or</w:t>
            </w:r>
          </w:p>
        </w:tc>
        <w:tc>
          <w:tcPr>
            <w:tcW w:w="380" w:type="dxa"/>
            <w:vAlign w:val="bottom"/>
          </w:tcPr>
          <w:p>
            <w:pPr>
              <w:spacing w:after="0"/>
              <w:rPr>
                <w:sz w:val="15"/>
                <w:szCs w:val="15"/>
                <w:color w:val="auto"/>
              </w:rPr>
            </w:pPr>
          </w:p>
        </w:tc>
        <w:tc>
          <w:tcPr>
            <w:tcW w:w="17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the plans or</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vMerge w:val="continue"/>
          </w:tcPr>
          <w:p>
            <w:pPr>
              <w:spacing w:after="0"/>
              <w:rPr>
                <w:sz w:val="21"/>
                <w:szCs w:val="21"/>
                <w:color w:val="auto"/>
              </w:rPr>
            </w:pPr>
          </w:p>
        </w:tc>
        <w:tc>
          <w:tcPr>
            <w:tcW w:w="1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(or units) purchased</w:t>
            </w:r>
            <w:r>
              <w:rPr>
                <w:rFonts w:ascii="Arial" w:cs="Arial" w:eastAsia="Arial" w:hAnsi="Arial"/>
                <w:sz w:val="23"/>
                <w:szCs w:val="23"/>
                <w:b w:val="1"/>
                <w:bCs w:val="1"/>
                <w:color w:val="auto"/>
                <w:vertAlign w:val="superscript"/>
              </w:rPr>
              <w:t>1</w:t>
            </w:r>
          </w:p>
        </w:tc>
        <w:tc>
          <w:tcPr>
            <w:tcW w:w="2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(or unit)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programs</w:t>
            </w: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8"/>
                <w:szCs w:val="18"/>
                <w:b w:val="1"/>
                <w:bCs w:val="1"/>
                <w:color w:val="auto"/>
              </w:rPr>
              <w:t>programs ($000)</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9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(4/30/2023 - 5/27/2023)</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585,615</w:t>
            </w:r>
          </w:p>
        </w:tc>
        <w:tc>
          <w:tcPr>
            <w:tcW w:w="2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$103.65</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585,031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654,900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June</w:t>
            </w:r>
          </w:p>
        </w:tc>
        <w:tc>
          <w:tcPr>
            <w:tcW w:w="1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(5/28/2023-7/01/2023)</w:t>
            </w:r>
          </w:p>
        </w:tc>
        <w:tc>
          <w:tcPr>
            <w:tcW w:w="1920" w:type="dxa"/>
            <w:vAlign w:val="bottom"/>
          </w:tcPr>
          <w:p>
            <w:pPr>
              <w:jc w:val="right"/>
              <w:spacing w:after="0"/>
              <w:rPr>
                <w:sz w:val="20"/>
                <w:szCs w:val="20"/>
                <w:color w:val="auto"/>
              </w:rPr>
            </w:pPr>
            <w:r>
              <w:rPr>
                <w:rFonts w:ascii="Arial" w:cs="Arial" w:eastAsia="Arial" w:hAnsi="Arial"/>
                <w:sz w:val="18"/>
                <w:szCs w:val="18"/>
                <w:color w:val="auto"/>
              </w:rPr>
              <w:t>886,786</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$105.81</w:t>
            </w:r>
          </w:p>
        </w:tc>
        <w:tc>
          <w:tcPr>
            <w:tcW w:w="1960" w:type="dxa"/>
            <w:vAlign w:val="bottom"/>
          </w:tcPr>
          <w:p>
            <w:pPr>
              <w:jc w:val="right"/>
              <w:spacing w:after="0"/>
              <w:rPr>
                <w:sz w:val="20"/>
                <w:szCs w:val="20"/>
                <w:color w:val="auto"/>
              </w:rPr>
            </w:pPr>
            <w:r>
              <w:rPr>
                <w:rFonts w:ascii="Arial" w:cs="Arial" w:eastAsia="Arial" w:hAnsi="Arial"/>
                <w:sz w:val="18"/>
                <w:szCs w:val="18"/>
                <w:color w:val="auto"/>
              </w:rPr>
              <w:t>878,528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561,920</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9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(7/02/2023- 7/29/2023)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688,314</w:t>
            </w:r>
          </w:p>
        </w:tc>
        <w:tc>
          <w:tcPr>
            <w:tcW w:w="2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$111.59</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688,314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485,110</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2,160,715</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$107.06</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2,151,873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485,110</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firstLine="8"/>
        <w:spacing w:after="0" w:line="224" w:lineRule="auto"/>
        <w:tabs>
          <w:tab w:leader="none" w:pos="78"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We acquired 8,842 shares of treasury stock during the quarter ended July 29, 2023. Treasury stock includes shares acquired from employees for tax withholding purposes related to vesting of restricted stock grants. All remaining shares were repurchased under our publicly announced stock repurchase program.</w:t>
      </w:r>
    </w:p>
    <w:p>
      <w:pPr>
        <w:spacing w:after="0" w:line="237"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In March 2022, our Board of Directors approved a two-year program to repurchase up to $1.9 billion of our common stock through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6. EXHIBITS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9"/>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96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Exhibit</w:t>
            </w:r>
          </w:p>
        </w:tc>
      </w:tr>
      <w:tr>
        <w:trPr>
          <w:trHeight w:val="196"/>
        </w:trPr>
        <w:tc>
          <w:tcPr>
            <w:tcW w:w="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3.1</w:t>
            </w:r>
          </w:p>
        </w:tc>
        <w:tc>
          <w:tcPr>
            <w:tcW w:w="964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Certificate of Incorporation of Ross Stores, Inc. as amended (Corrected First Restated Certificate of Incorporation, dated</w:t>
              </w:r>
            </w:hyperlink>
          </w:p>
        </w:tc>
      </w:tr>
      <w:tr>
        <w:trPr>
          <w:trHeight w:val="20"/>
        </w:trPr>
        <w:tc>
          <w:tcPr>
            <w:tcW w:w="980" w:type="dxa"/>
            <w:vAlign w:val="bottom"/>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7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980" w:type="dxa"/>
            <w:vAlign w:val="bottom"/>
            <w:tcBorders>
              <w:right w:val="single" w:sz="8" w:color="CCEEFF"/>
            </w:tcBorders>
            <w:shd w:val="clear" w:color="auto" w:fill="0000FF"/>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964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March 17, 1999, together with amendments thereto through Amendment of Certificate of Incorporation dated May 29,</w:t>
              </w:r>
            </w:hyperlink>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9640" w:type="dxa"/>
            <w:vAlign w:val="bottom"/>
            <w:tcBorders>
              <w:bottom w:val="single" w:sz="8" w:color="0000FF"/>
              <w:right w:val="single" w:sz="8" w:color="CCEEFF"/>
            </w:tcBorders>
            <w:gridSpan w:val="4"/>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2015) incorporated by reference to Exhibit 3.1 to the Form 10-Q filed by Ross Stores, Inc. for its quarter ended August 1,</w:t>
              </w:r>
            </w:hyperlink>
          </w:p>
        </w:tc>
      </w:tr>
      <w:tr>
        <w:trPr>
          <w:trHeight w:val="244"/>
        </w:trPr>
        <w:tc>
          <w:tcPr>
            <w:tcW w:w="980" w:type="dxa"/>
            <w:vAlign w:val="bottom"/>
            <w:shd w:val="clear" w:color="auto" w:fill="CCEEFF"/>
          </w:tcPr>
          <w:p>
            <w:pPr>
              <w:spacing w:after="0"/>
              <w:rPr>
                <w:sz w:val="21"/>
                <w:szCs w:val="21"/>
                <w:color w:val="auto"/>
              </w:rPr>
            </w:pPr>
          </w:p>
        </w:tc>
        <w:tc>
          <w:tcPr>
            <w:tcW w:w="5200" w:type="dxa"/>
            <w:vAlign w:val="bottom"/>
            <w:gridSpan w:val="2"/>
            <w:shd w:val="clear" w:color="auto" w:fill="CCEEFF"/>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2015.</w:t>
              </w:r>
            </w:hyperlink>
          </w:p>
        </w:tc>
        <w:tc>
          <w:tcPr>
            <w:tcW w:w="2460" w:type="dxa"/>
            <w:vAlign w:val="bottom"/>
            <w:shd w:val="clear" w:color="auto" w:fill="CCEEFF"/>
          </w:tcPr>
          <w:p>
            <w:pPr>
              <w:spacing w:after="0"/>
              <w:rPr>
                <w:sz w:val="21"/>
                <w:szCs w:val="21"/>
                <w:color w:val="auto"/>
              </w:rPr>
            </w:pPr>
          </w:p>
        </w:tc>
        <w:tc>
          <w:tcPr>
            <w:tcW w:w="1980" w:type="dxa"/>
            <w:vAlign w:val="bottom"/>
            <w:tcBorders>
              <w:right w:val="single" w:sz="8" w:color="CCEEFF"/>
            </w:tcBorders>
            <w:shd w:val="clear" w:color="auto" w:fill="CCEEFF"/>
          </w:tcPr>
          <w:p>
            <w:pPr>
              <w:spacing w:after="0"/>
              <w:rPr>
                <w:sz w:val="21"/>
                <w:szCs w:val="21"/>
                <w:color w:val="auto"/>
              </w:rPr>
            </w:pPr>
          </w:p>
        </w:tc>
      </w:tr>
      <w:tr>
        <w:trPr>
          <w:trHeight w:val="229"/>
        </w:trPr>
        <w:tc>
          <w:tcPr>
            <w:tcW w:w="980" w:type="dxa"/>
            <w:vAlign w:val="bottom"/>
            <w:tcBorders>
              <w:top w:val="single" w:sz="8" w:color="CCEE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2460" w:type="dxa"/>
            <w:vAlign w:val="bottom"/>
            <w:tcBorders>
              <w:top w:val="single" w:sz="8" w:color="CCEEFF"/>
            </w:tcBorders>
          </w:tcPr>
          <w:p>
            <w:pPr>
              <w:spacing w:after="0"/>
              <w:rPr>
                <w:sz w:val="19"/>
                <w:szCs w:val="19"/>
                <w:color w:val="auto"/>
              </w:rPr>
            </w:pPr>
          </w:p>
        </w:tc>
        <w:tc>
          <w:tcPr>
            <w:tcW w:w="1980" w:type="dxa"/>
            <w:vAlign w:val="bottom"/>
            <w:tcBorders>
              <w:top w:val="single" w:sz="8" w:color="CCEEFF"/>
            </w:tcBorders>
          </w:tcPr>
          <w:p>
            <w:pPr>
              <w:spacing w:after="0"/>
              <w:rPr>
                <w:sz w:val="19"/>
                <w:szCs w:val="19"/>
                <w:color w:val="auto"/>
              </w:rPr>
            </w:pPr>
          </w:p>
        </w:tc>
      </w:tr>
      <w:tr>
        <w:trPr>
          <w:trHeight w:val="203"/>
        </w:trPr>
        <w:tc>
          <w:tcPr>
            <w:tcW w:w="9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3.2</w:t>
            </w:r>
          </w:p>
        </w:tc>
        <w:tc>
          <w:tcPr>
            <w:tcW w:w="9640" w:type="dxa"/>
            <w:vAlign w:val="bottom"/>
            <w:tcBorders>
              <w:bottom w:val="single" w:sz="8" w:color="0000FF"/>
              <w:right w:val="single" w:sz="8" w:color="CCEEFF"/>
            </w:tcBorders>
            <w:gridSpan w:val="4"/>
            <w:shd w:val="clear" w:color="auto" w:fill="CCEEFF"/>
          </w:tcPr>
          <w:p>
            <w:pPr>
              <w:spacing w:after="0" w:line="202" w:lineRule="exact"/>
              <w:rPr>
                <w:rFonts w:ascii="Arial" w:cs="Arial" w:eastAsia="Arial" w:hAnsi="Arial"/>
                <w:sz w:val="18"/>
                <w:szCs w:val="18"/>
                <w:color w:val="0000FF"/>
              </w:rPr>
            </w:pPr>
            <w:hyperlink r:id="rId35">
              <w:r>
                <w:rPr>
                  <w:rFonts w:ascii="Arial" w:cs="Arial" w:eastAsia="Arial" w:hAnsi="Arial"/>
                  <w:sz w:val="18"/>
                  <w:szCs w:val="18"/>
                  <w:color w:val="0000FF"/>
                </w:rPr>
                <w:t>Amended and Restated Bylaws of Ross Stores, Inc. (as amended March 8, 2023), incorporated by reference to Exhibit</w:t>
              </w:r>
            </w:hyperlink>
          </w:p>
        </w:tc>
      </w:tr>
      <w:tr>
        <w:trPr>
          <w:trHeight w:val="243"/>
        </w:trPr>
        <w:tc>
          <w:tcPr>
            <w:tcW w:w="980" w:type="dxa"/>
            <w:vAlign w:val="bottom"/>
            <w:shd w:val="clear" w:color="auto" w:fill="CCEEFF"/>
          </w:tcPr>
          <w:p>
            <w:pPr>
              <w:spacing w:after="0"/>
              <w:rPr>
                <w:sz w:val="21"/>
                <w:szCs w:val="21"/>
                <w:color w:val="auto"/>
              </w:rPr>
            </w:pPr>
          </w:p>
        </w:tc>
        <w:tc>
          <w:tcPr>
            <w:tcW w:w="9640" w:type="dxa"/>
            <w:vAlign w:val="bottom"/>
            <w:tcBorders>
              <w:right w:val="single" w:sz="8" w:color="CCEEFF"/>
            </w:tcBorders>
            <w:gridSpan w:val="4"/>
            <w:shd w:val="clear" w:color="auto" w:fill="CCEEFF"/>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3.</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Form 8-K filed by Ross Stores, Inc. on March 14, 2023.</w:t>
              </w:r>
            </w:hyperlink>
          </w:p>
        </w:tc>
      </w:tr>
      <w:tr>
        <w:trPr>
          <w:trHeight w:val="257"/>
        </w:trPr>
        <w:tc>
          <w:tcPr>
            <w:tcW w:w="980" w:type="dxa"/>
            <w:vAlign w:val="bottom"/>
            <w:tcBorders>
              <w:top w:val="single" w:sz="8" w:color="CCEE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4740" w:type="dxa"/>
            <w:vAlign w:val="bottom"/>
            <w:tcBorders>
              <w:top w:val="single" w:sz="8" w:color="0000FF"/>
            </w:tcBorders>
          </w:tcPr>
          <w:p>
            <w:pPr>
              <w:spacing w:after="0"/>
              <w:rPr>
                <w:sz w:val="22"/>
                <w:szCs w:val="22"/>
                <w:color w:val="auto"/>
              </w:rPr>
            </w:pPr>
          </w:p>
        </w:tc>
        <w:tc>
          <w:tcPr>
            <w:tcW w:w="2460" w:type="dxa"/>
            <w:vAlign w:val="bottom"/>
            <w:tcBorders>
              <w:top w:val="single" w:sz="8" w:color="CCEEFF"/>
            </w:tcBorders>
          </w:tcPr>
          <w:p>
            <w:pPr>
              <w:spacing w:after="0"/>
              <w:rPr>
                <w:sz w:val="22"/>
                <w:szCs w:val="22"/>
                <w:color w:val="auto"/>
              </w:rPr>
            </w:pPr>
          </w:p>
        </w:tc>
        <w:tc>
          <w:tcPr>
            <w:tcW w:w="1980" w:type="dxa"/>
            <w:vAlign w:val="bottom"/>
            <w:tcBorders>
              <w:top w:val="single" w:sz="8" w:color="CCEEFF"/>
            </w:tcBorders>
          </w:tcPr>
          <w:p>
            <w:pPr>
              <w:spacing w:after="0"/>
              <w:rPr>
                <w:sz w:val="22"/>
                <w:szCs w:val="2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10.1</w:t>
            </w:r>
          </w:p>
        </w:tc>
        <w:tc>
          <w:tcPr>
            <w:tcW w:w="9640" w:type="dxa"/>
            <w:vAlign w:val="bottom"/>
            <w:tcBorders>
              <w:right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rPr>
              <w:t>Employment Agreement effective June 19, 2023 between Barbara Rentler and Ross Stores, Inc.</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474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673798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737985" cy="146050"/>
                    </a:xfrm>
                    <a:prstGeom prst="rect">
                      <a:avLst/>
                    </a:prstGeom>
                    <a:noFill/>
                  </pic:spPr>
                </pic:pic>
              </a:graphicData>
            </a:graphic>
          </wp:anchor>
        </w:drawing>
      </w:r>
    </w:p>
    <w:p>
      <w:pPr>
        <w:spacing w:after="0" w:line="251" w:lineRule="exact"/>
        <w:rPr>
          <w:sz w:val="20"/>
          <w:szCs w:val="20"/>
          <w:color w:val="auto"/>
        </w:rPr>
      </w:pPr>
    </w:p>
    <w:p>
      <w:pPr>
        <w:ind w:left="980" w:hanging="95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Letter re: Unaudited Interim Financial Information from Deloitte &amp; Touche LLP dated September 5, 2023.</w:t>
      </w:r>
    </w:p>
    <w:p>
      <w:pPr>
        <w:spacing w:after="0" w:line="25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7"/>
          <w:szCs w:val="17"/>
          <w:u w:val="single" w:color="auto"/>
          <w:color w:val="0000FF"/>
        </w:rPr>
        <w:t>Certification of Chief Executive Officer Pursuant to Sarbanes-Oxley Act Section 302(a).</w:t>
      </w:r>
    </w:p>
    <w:p>
      <w:pPr>
        <w:spacing w:after="0" w:line="25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7"/>
          <w:szCs w:val="17"/>
          <w:u w:val="single" w:color="auto"/>
          <w:color w:val="0000FF"/>
        </w:rPr>
        <w:t>Certification of Chief Financial Officer Pursuant to Sarbanes-Oxley Act Section 302(a).</w:t>
      </w:r>
    </w:p>
    <w:p>
      <w:pPr>
        <w:spacing w:after="0" w:line="25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7"/>
          <w:szCs w:val="17"/>
          <w:u w:val="single" w:color="auto"/>
          <w:color w:val="0000FF"/>
        </w:rPr>
        <w:t>Certification of Chief Executive Officer Pursuant to 18 U.S.C. Section 1350.</w:t>
      </w:r>
    </w:p>
    <w:p>
      <w:pPr>
        <w:spacing w:after="0" w:line="252"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7"/>
          <w:szCs w:val="17"/>
          <w:u w:val="single" w:color="auto"/>
          <w:color w:val="0000FF"/>
        </w:rPr>
        <w:t>Certification of Chief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-1005840</wp:posOffset>
            </wp:positionV>
            <wp:extent cx="673798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73798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-714375</wp:posOffset>
            </wp:positionV>
            <wp:extent cx="673798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7379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673798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673798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673798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6737985" cy="14541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w:t>
            </w:r>
          </w:p>
        </w:tc>
      </w:tr>
      <w:tr>
        <w:trPr>
          <w:trHeight w:val="242"/>
        </w:trPr>
        <w:tc>
          <w:tcPr>
            <w:tcW w:w="880" w:type="dxa"/>
            <w:vAlign w:val="bottom"/>
            <w:shd w:val="clear" w:color="auto" w:fill="CCEEFF"/>
          </w:tcPr>
          <w:p>
            <w:pPr>
              <w:spacing w:after="0"/>
              <w:rPr>
                <w:sz w:val="21"/>
                <w:szCs w:val="21"/>
                <w:color w:val="auto"/>
              </w:rPr>
            </w:pP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are embedded within the Inline XBRL document.)</w:t>
            </w:r>
          </w:p>
        </w:tc>
      </w:tr>
      <w:tr>
        <w:trPr>
          <w:trHeight w:val="256"/>
        </w:trPr>
        <w:tc>
          <w:tcPr>
            <w:tcW w:w="880" w:type="dxa"/>
            <w:vAlign w:val="bottom"/>
          </w:tcPr>
          <w:p>
            <w:pPr>
              <w:spacing w:after="0"/>
              <w:rPr>
                <w:sz w:val="22"/>
                <w:szCs w:val="22"/>
                <w:color w:val="auto"/>
              </w:rPr>
            </w:pPr>
          </w:p>
        </w:tc>
        <w:tc>
          <w:tcPr>
            <w:tcW w:w="9740" w:type="dxa"/>
            <w:vAlign w:val="bottom"/>
          </w:tcPr>
          <w:p>
            <w:pPr>
              <w:spacing w:after="0"/>
              <w:rPr>
                <w:sz w:val="22"/>
                <w:szCs w:val="22"/>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880" w:type="dxa"/>
            <w:vAlign w:val="bottom"/>
          </w:tcPr>
          <w:p>
            <w:pPr>
              <w:spacing w:after="0"/>
              <w:rPr>
                <w:sz w:val="19"/>
                <w:szCs w:val="19"/>
                <w:color w:val="auto"/>
              </w:rPr>
            </w:pPr>
          </w:p>
        </w:tc>
        <w:tc>
          <w:tcPr>
            <w:tcW w:w="9740" w:type="dxa"/>
            <w:vAlign w:val="bottom"/>
          </w:tcPr>
          <w:p>
            <w:pPr>
              <w:spacing w:after="0"/>
              <w:rPr>
                <w:sz w:val="19"/>
                <w:szCs w:val="19"/>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880" w:type="dxa"/>
            <w:vAlign w:val="bottom"/>
          </w:tcPr>
          <w:p>
            <w:pPr>
              <w:spacing w:after="0"/>
              <w:rPr>
                <w:sz w:val="19"/>
                <w:szCs w:val="19"/>
                <w:color w:val="auto"/>
              </w:rPr>
            </w:pPr>
          </w:p>
        </w:tc>
        <w:tc>
          <w:tcPr>
            <w:tcW w:w="9740" w:type="dxa"/>
            <w:vAlign w:val="bottom"/>
          </w:tcPr>
          <w:p>
            <w:pPr>
              <w:spacing w:after="0"/>
              <w:rPr>
                <w:sz w:val="19"/>
                <w:szCs w:val="19"/>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880" w:type="dxa"/>
            <w:vAlign w:val="bottom"/>
          </w:tcPr>
          <w:p>
            <w:pPr>
              <w:spacing w:after="0"/>
              <w:rPr>
                <w:sz w:val="19"/>
                <w:szCs w:val="19"/>
                <w:color w:val="auto"/>
              </w:rPr>
            </w:pPr>
          </w:p>
        </w:tc>
        <w:tc>
          <w:tcPr>
            <w:tcW w:w="9740" w:type="dxa"/>
            <w:vAlign w:val="bottom"/>
          </w:tcPr>
          <w:p>
            <w:pPr>
              <w:spacing w:after="0"/>
              <w:rPr>
                <w:sz w:val="19"/>
                <w:szCs w:val="19"/>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880" w:type="dxa"/>
            <w:vAlign w:val="bottom"/>
          </w:tcPr>
          <w:p>
            <w:pPr>
              <w:spacing w:after="0"/>
              <w:rPr>
                <w:sz w:val="19"/>
                <w:szCs w:val="19"/>
                <w:color w:val="auto"/>
              </w:rPr>
            </w:pPr>
          </w:p>
        </w:tc>
        <w:tc>
          <w:tcPr>
            <w:tcW w:w="9740" w:type="dxa"/>
            <w:vAlign w:val="bottom"/>
          </w:tcPr>
          <w:p>
            <w:pPr>
              <w:spacing w:after="0"/>
              <w:rPr>
                <w:sz w:val="19"/>
                <w:szCs w:val="19"/>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97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737985"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6737985" cy="265430"/>
                    </a:xfrm>
                    <a:prstGeom prst="rect">
                      <a:avLst/>
                    </a:prstGeom>
                    <a:noFill/>
                  </pic:spPr>
                </pic:pic>
              </a:graphicData>
            </a:graphic>
          </wp:anchor>
        </w:drawing>
      </w:r>
    </w:p>
    <w:p>
      <w:pPr>
        <w:spacing w:after="0" w:line="237" w:lineRule="exact"/>
        <w:rPr>
          <w:sz w:val="20"/>
          <w:szCs w:val="20"/>
          <w:color w:val="auto"/>
        </w:rPr>
      </w:pPr>
    </w:p>
    <w:p>
      <w:pPr>
        <w:ind w:left="980" w:right="580" w:hanging="954"/>
        <w:spacing w:after="0" w:line="23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927" w:right="9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20320</wp:posOffset>
            </wp:positionV>
            <wp:extent cx="3600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620" w:val="left"/>
          <w:tab w:leader="none" w:pos="5020" w:val="left"/>
          <w:tab w:leader="none" w:pos="5480" w:val="left"/>
        </w:tabs>
        <w:rPr>
          <w:sz w:val="20"/>
          <w:szCs w:val="20"/>
          <w:color w:val="auto"/>
        </w:rPr>
      </w:pPr>
      <w:r>
        <w:rPr>
          <w:rFonts w:ascii="Arial" w:cs="Arial" w:eastAsia="Arial" w:hAnsi="Arial"/>
          <w:sz w:val="18"/>
          <w:szCs w:val="18"/>
          <w:color w:val="auto"/>
        </w:rPr>
        <w:t>Date:</w:t>
        <w:tab/>
        <w:t>September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/s/Jeffrey P. Burrill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13970</wp:posOffset>
            </wp:positionV>
            <wp:extent cx="3317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Jeffrey P. Burrill</w:t>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Chief Accounting Officer and Corporate</w:t>
      </w:r>
    </w:p>
    <w:p>
      <w:pPr>
        <w:ind w:left="5500"/>
        <w:spacing w:after="0"/>
        <w:rPr>
          <w:sz w:val="20"/>
          <w:szCs w:val="20"/>
          <w:color w:val="auto"/>
        </w:rPr>
      </w:pPr>
      <w:r>
        <w:rPr>
          <w:rFonts w:ascii="Arial" w:cs="Arial" w:eastAsia="Arial" w:hAnsi="Arial"/>
          <w:sz w:val="18"/>
          <w:szCs w:val="18"/>
          <w:color w:val="auto"/>
        </w:rPr>
        <w:t>Controller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927"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b w:val="1"/>
          <w:bCs w:val="1"/>
          <w:color w:val="auto"/>
        </w:rPr>
        <w:t xml:space="preserve">THIS EXECUTIVE EMPLOYMENT AGREEMENT </w:t>
      </w:r>
      <w:r>
        <w:rPr>
          <w:rFonts w:ascii="Arial" w:cs="Arial" w:eastAsia="Arial" w:hAnsi="Arial"/>
          <w:sz w:val="22"/>
          <w:szCs w:val="22"/>
          <w:color w:val="auto"/>
        </w:rPr>
        <w:t>(this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effective</w:t>
      </w:r>
      <w:r>
        <w:rPr>
          <w:rFonts w:ascii="Arial" w:cs="Arial" w:eastAsia="Arial" w:hAnsi="Arial"/>
          <w:sz w:val="22"/>
          <w:szCs w:val="22"/>
          <w:b w:val="1"/>
          <w:bCs w:val="1"/>
          <w:color w:val="auto"/>
        </w:rPr>
        <w:t xml:space="preserve"> June 19, 2023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Ross Stores, Inc., a Delaware corporation, and Barbara Rentler (the “</w:t>
      </w:r>
      <w:r>
        <w:rPr>
          <w:rFonts w:ascii="Arial" w:cs="Arial" w:eastAsia="Arial" w:hAnsi="Arial"/>
          <w:sz w:val="22"/>
          <w:szCs w:val="22"/>
          <w:u w:val="single" w:color="auto"/>
          <w:color w:val="auto"/>
        </w:rPr>
        <w:t>Executive</w:t>
      </w:r>
      <w:r>
        <w:rPr>
          <w:rFonts w:ascii="Arial" w:cs="Arial" w:eastAsia="Arial" w:hAnsi="Arial"/>
          <w:sz w:val="22"/>
          <w:szCs w:val="22"/>
          <w:color w:val="auto"/>
        </w:rPr>
        <w:t>”). References herein to the “</w:t>
      </w:r>
      <w:r>
        <w:rPr>
          <w:rFonts w:ascii="Arial" w:cs="Arial" w:eastAsia="Arial" w:hAnsi="Arial"/>
          <w:sz w:val="22"/>
          <w:szCs w:val="22"/>
          <w:u w:val="single" w:color="auto"/>
          <w:color w:val="auto"/>
        </w:rPr>
        <w:t>Company</w:t>
      </w:r>
      <w:r>
        <w:rPr>
          <w:rFonts w:ascii="Arial" w:cs="Arial" w:eastAsia="Arial" w:hAnsi="Arial"/>
          <w:sz w:val="22"/>
          <w:szCs w:val="22"/>
          <w:color w:val="auto"/>
        </w:rPr>
        <w:t>” shall mean Ross Stores, Inc. and, where appropriate, Ross Stores, Inc. and each and any of its divisions, affiliates or subsidiaries.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RECITALS</w:t>
      </w:r>
    </w:p>
    <w:p>
      <w:pPr>
        <w:spacing w:after="0" w:line="179" w:lineRule="exact"/>
        <w:rPr>
          <w:sz w:val="20"/>
          <w:szCs w:val="20"/>
          <w:color w:val="auto"/>
        </w:rPr>
      </w:pPr>
    </w:p>
    <w:p>
      <w:pPr>
        <w:ind w:right="20" w:firstLine="656"/>
        <w:spacing w:after="0" w:line="235" w:lineRule="auto"/>
        <w:tabs>
          <w:tab w:leader="none" w:pos="129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xml:space="preserve">The Company wishes to employ the Executive, and the Executive is willing to accept such employment, as </w:t>
      </w:r>
      <w:r>
        <w:rPr>
          <w:rFonts w:ascii="Arial" w:cs="Arial" w:eastAsia="Arial" w:hAnsi="Arial"/>
          <w:sz w:val="22"/>
          <w:szCs w:val="22"/>
          <w:b w:val="1"/>
          <w:bCs w:val="1"/>
          <w:color w:val="auto"/>
        </w:rPr>
        <w:t>Chief</w:t>
      </w:r>
      <w:r>
        <w:rPr>
          <w:rFonts w:ascii="Arial" w:cs="Arial" w:eastAsia="Arial" w:hAnsi="Arial"/>
          <w:sz w:val="22"/>
          <w:szCs w:val="22"/>
          <w:color w:val="auto"/>
        </w:rPr>
        <w:t xml:space="preserve"> </w:t>
      </w:r>
      <w:r>
        <w:rPr>
          <w:rFonts w:ascii="Arial" w:cs="Arial" w:eastAsia="Arial" w:hAnsi="Arial"/>
          <w:sz w:val="22"/>
          <w:szCs w:val="22"/>
          <w:b w:val="1"/>
          <w:bCs w:val="1"/>
          <w:color w:val="auto"/>
        </w:rPr>
        <w:t>Executive Officer</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firstLine="656"/>
        <w:spacing w:after="0" w:line="223" w:lineRule="auto"/>
        <w:tabs>
          <w:tab w:leader="none" w:pos="1292" w:val="left"/>
        </w:tabs>
        <w:numPr>
          <w:ilvl w:val="0"/>
          <w:numId w:val="13"/>
        </w:numPr>
        <w:rPr>
          <w:rFonts w:ascii="Arial" w:cs="Arial" w:eastAsia="Arial" w:hAnsi="Arial"/>
          <w:sz w:val="22"/>
          <w:szCs w:val="22"/>
          <w:color w:val="auto"/>
        </w:rPr>
      </w:pPr>
      <w:r>
        <w:rPr>
          <w:rFonts w:ascii="Arial" w:cs="Arial" w:eastAsia="Arial" w:hAnsi="Arial"/>
          <w:sz w:val="22"/>
          <w:szCs w:val="22"/>
          <w:color w:val="auto"/>
        </w:rPr>
        <w:t>It is now the mutual desire of the Company and the Executive to enter into a written employment agreement to govern the terms of the Executive’s employment by the Company as of and following the Effective Date on the terms and conditions set forth below.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TERMS AND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consideration for the promises of the parties set forth below, the Company and the Executive hereby agree as follows:</w:t>
      </w:r>
    </w:p>
    <w:p>
      <w:pPr>
        <w:spacing w:after="0" w:line="208" w:lineRule="exact"/>
        <w:rPr>
          <w:sz w:val="20"/>
          <w:szCs w:val="20"/>
          <w:color w:val="auto"/>
        </w:rPr>
      </w:pPr>
    </w:p>
    <w:p>
      <w:pPr>
        <w:jc w:val="both"/>
        <w:ind w:firstLine="656"/>
        <w:spacing w:after="0" w:line="225"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Subject to the provisions of Section 6 of this Agreement, the term of employment of the Executive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Company under this Agreement shall begin on the Effective Date and end on </w:t>
      </w:r>
      <w:r>
        <w:rPr>
          <w:rFonts w:ascii="Arial" w:cs="Arial" w:eastAsia="Arial" w:hAnsi="Arial"/>
          <w:sz w:val="22"/>
          <w:szCs w:val="22"/>
          <w:b w:val="1"/>
          <w:bCs w:val="1"/>
          <w:color w:val="auto"/>
        </w:rPr>
        <w:t>March 31, 2027</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Term of Employment</w:t>
      </w:r>
      <w:r>
        <w:rPr>
          <w:rFonts w:ascii="Arial" w:cs="Arial" w:eastAsia="Arial" w:hAnsi="Arial"/>
          <w:sz w:val="22"/>
          <w:szCs w:val="22"/>
          <w:color w:val="auto"/>
        </w:rPr>
        <w:t>”), unless extended or terminated earlier in accordance with this Agreement.</w:t>
      </w:r>
    </w:p>
    <w:p>
      <w:pPr>
        <w:spacing w:after="0" w:line="152" w:lineRule="exact"/>
        <w:rPr>
          <w:rFonts w:ascii="Arial" w:cs="Arial" w:eastAsia="Arial" w:hAnsi="Arial"/>
          <w:sz w:val="22"/>
          <w:szCs w:val="22"/>
          <w:color w:val="auto"/>
        </w:rPr>
      </w:pPr>
    </w:p>
    <w:p>
      <w:pPr>
        <w:jc w:val="both"/>
        <w:ind w:firstLine="656"/>
        <w:spacing w:after="0" w:line="244" w:lineRule="auto"/>
        <w:tabs>
          <w:tab w:leader="none" w:pos="1296" w:val="left"/>
        </w:tabs>
        <w:numPr>
          <w:ilvl w:val="0"/>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Position and Duties. </w:t>
      </w:r>
      <w:r>
        <w:rPr>
          <w:rFonts w:ascii="Arial" w:cs="Arial" w:eastAsia="Arial" w:hAnsi="Arial"/>
          <w:sz w:val="19"/>
          <w:szCs w:val="19"/>
          <w:color w:val="auto"/>
        </w:rPr>
        <w:t>The Executive shall continue to serve as</w:t>
      </w:r>
      <w:r>
        <w:rPr>
          <w:rFonts w:ascii="Arial" w:cs="Arial" w:eastAsia="Arial" w:hAnsi="Arial"/>
          <w:sz w:val="19"/>
          <w:szCs w:val="19"/>
          <w:b w:val="1"/>
          <w:bCs w:val="1"/>
          <w:color w:val="auto"/>
        </w:rPr>
        <w:t xml:space="preserve"> Chief Executive Officer </w:t>
      </w:r>
      <w:r>
        <w:rPr>
          <w:rFonts w:ascii="Arial" w:cs="Arial" w:eastAsia="Arial" w:hAnsi="Arial"/>
          <w:sz w:val="19"/>
          <w:szCs w:val="19"/>
          <w:color w:val="auto"/>
        </w:rPr>
        <w:t>of the Company (“CEO”),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overall responsibility for its corporate policy making, organization and operation, and accomplishment of its plans and objectives, through and until the earlier of the last day of the Company’s fiscal year beginning in 2025 or (ii) the effective date of the selection of a successor as CEO. On the earlier of the first day of the Company’s fiscal year beginning in 2026 or the effective date of the appointment of a successor as CEO, the Executive shall cease to hold the office of CEO, but will continue to serve as an employee with the title of Senior Advisor thru </w:t>
      </w:r>
      <w:r>
        <w:rPr>
          <w:rFonts w:ascii="Arial" w:cs="Arial" w:eastAsia="Arial" w:hAnsi="Arial"/>
          <w:sz w:val="19"/>
          <w:szCs w:val="19"/>
          <w:b w:val="1"/>
          <w:bCs w:val="1"/>
          <w:color w:val="auto"/>
        </w:rPr>
        <w:t>March 31, 2027</w:t>
      </w:r>
      <w:r>
        <w:rPr>
          <w:rFonts w:ascii="Arial" w:cs="Arial" w:eastAsia="Arial" w:hAnsi="Arial"/>
          <w:sz w:val="19"/>
          <w:szCs w:val="19"/>
          <w:color w:val="auto"/>
        </w:rPr>
        <w:t>. During the Term of Employment, the Executive may engage in outside activities provided (i) such activities (including but not limited to membership on boards of directors of not-for-profit and for-profit organizations) do not conflict with the Executive’s duties and responsibilities hereunder and (ii) the Executive obtains written approval from the Company’s Chairman of any significant outside business activity in which the Executive plans to become involved, whether or not such activity is pursued for profit.</w:t>
      </w:r>
    </w:p>
    <w:p>
      <w:pPr>
        <w:spacing w:after="0" w:line="154" w:lineRule="exact"/>
        <w:rPr>
          <w:rFonts w:ascii="Arial" w:cs="Arial" w:eastAsia="Arial" w:hAnsi="Arial"/>
          <w:sz w:val="19"/>
          <w:szCs w:val="19"/>
          <w:color w:val="auto"/>
        </w:rPr>
      </w:pPr>
    </w:p>
    <w:p>
      <w:pPr>
        <w:jc w:val="both"/>
        <w:ind w:firstLine="656"/>
        <w:spacing w:after="0" w:line="225"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 xml:space="preserve">Principal Place of Employment. </w:t>
      </w:r>
      <w:r>
        <w:rPr>
          <w:rFonts w:ascii="Arial" w:cs="Arial" w:eastAsia="Arial" w:hAnsi="Arial"/>
          <w:sz w:val="22"/>
          <w:szCs w:val="22"/>
          <w:color w:val="auto"/>
        </w:rPr>
        <w:t>The Executive shall be employed at the Company’s offices in</w:t>
      </w:r>
      <w:r>
        <w:rPr>
          <w:rFonts w:ascii="Arial" w:cs="Arial" w:eastAsia="Arial" w:hAnsi="Arial"/>
          <w:sz w:val="22"/>
          <w:szCs w:val="22"/>
          <w:b w:val="1"/>
          <w:bCs w:val="1"/>
          <w:color w:val="auto"/>
        </w:rPr>
        <w:t xml:space="preserve"> New York, NY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for required travel on the Company’s business to an extent substantially consistent with present business travel obligations of the Executive’s position.</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14"/>
        </w:numPr>
        <w:rPr>
          <w:rFonts w:ascii="Arial" w:cs="Arial" w:eastAsia="Arial" w:hAnsi="Arial"/>
          <w:sz w:val="22"/>
          <w:szCs w:val="22"/>
          <w:color w:val="auto"/>
        </w:rPr>
      </w:pPr>
      <w:r>
        <w:rPr>
          <w:rFonts w:ascii="Arial" w:cs="Arial" w:eastAsia="Arial" w:hAnsi="Arial"/>
          <w:sz w:val="22"/>
          <w:szCs w:val="22"/>
          <w:b w:val="1"/>
          <w:bCs w:val="1"/>
          <w:color w:val="auto"/>
        </w:rPr>
        <w:t>Compensation and Related Matters.</w:t>
      </w:r>
    </w:p>
    <w:p>
      <w:pPr>
        <w:spacing w:after="0" w:line="71" w:lineRule="exact"/>
        <w:rPr>
          <w:rFonts w:ascii="Arial" w:cs="Arial" w:eastAsia="Arial" w:hAnsi="Arial"/>
          <w:sz w:val="22"/>
          <w:szCs w:val="22"/>
          <w:color w:val="auto"/>
        </w:rPr>
      </w:pPr>
    </w:p>
    <w:p>
      <w:pPr>
        <w:jc w:val="both"/>
        <w:ind w:firstLine="1304"/>
        <w:spacing w:after="0" w:line="271" w:lineRule="auto"/>
        <w:tabs>
          <w:tab w:leader="none" w:pos="1941" w:val="left"/>
        </w:tabs>
        <w:numPr>
          <w:ilvl w:val="1"/>
          <w:numId w:val="14"/>
        </w:numPr>
        <w:rPr>
          <w:rFonts w:ascii="Arial" w:cs="Arial" w:eastAsia="Arial" w:hAnsi="Arial"/>
          <w:sz w:val="19"/>
          <w:szCs w:val="19"/>
          <w:color w:val="auto"/>
        </w:rPr>
      </w:pPr>
      <w:r>
        <w:rPr>
          <w:rFonts w:ascii="Arial" w:cs="Arial" w:eastAsia="Arial" w:hAnsi="Arial"/>
          <w:sz w:val="19"/>
          <w:szCs w:val="19"/>
          <w:b w:val="1"/>
          <w:bCs w:val="1"/>
          <w:color w:val="auto"/>
        </w:rPr>
        <w:t xml:space="preserve">Salary. </w:t>
      </w:r>
      <w:r>
        <w:rPr>
          <w:rFonts w:ascii="Arial" w:cs="Arial" w:eastAsia="Arial" w:hAnsi="Arial"/>
          <w:sz w:val="19"/>
          <w:szCs w:val="19"/>
          <w:color w:val="auto"/>
        </w:rPr>
        <w:t>During the Term of Employment thru the last day of the Company’s fiscal year beginning in 2025,</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Company shall pay to the Executive a salary at a rate of not less than </w:t>
      </w:r>
      <w:r>
        <w:rPr>
          <w:rFonts w:ascii="Arial" w:cs="Arial" w:eastAsia="Arial" w:hAnsi="Arial"/>
          <w:sz w:val="19"/>
          <w:szCs w:val="19"/>
          <w:b w:val="1"/>
          <w:bCs w:val="1"/>
          <w:color w:val="auto"/>
        </w:rPr>
        <w:t>One Million Four Hundred Fifty Thousand Dollars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($1,450,000) </w:t>
      </w:r>
      <w:r>
        <w:rPr>
          <w:rFonts w:ascii="Arial" w:cs="Arial" w:eastAsia="Arial" w:hAnsi="Arial"/>
          <w:sz w:val="19"/>
          <w:szCs w:val="19"/>
          <w:color w:val="auto"/>
        </w:rPr>
        <w:t>per annum. During the Term of Employment from the first day of the Company’s fiscal year</w:t>
      </w:r>
    </w:p>
    <w:p>
      <w:pPr>
        <w:sectPr>
          <w:pgSz w:w="11900" w:h="16838" w:orient="portrait"/>
          <w:cols w:equalWidth="0" w:num="1">
            <w:col w:w="11240"/>
          </w:cols>
          <w:pgMar w:left="320" w:top="1395" w:right="339" w:bottom="1440" w:gutter="0" w:footer="0" w:header="0"/>
        </w:sectPr>
      </w:pPr>
    </w:p>
    <w:bookmarkStart w:id="27" w:name="page28"/>
    <w:bookmarkEnd w:id="27"/>
    <w:p>
      <w:pPr>
        <w:jc w:val="both"/>
        <w:spacing w:after="0" w:line="216" w:lineRule="auto"/>
        <w:rPr>
          <w:sz w:val="20"/>
          <w:szCs w:val="20"/>
          <w:color w:val="auto"/>
        </w:rPr>
      </w:pPr>
      <w:r>
        <w:rPr>
          <w:rFonts w:ascii="Arial" w:cs="Arial" w:eastAsia="Arial" w:hAnsi="Arial"/>
          <w:sz w:val="22"/>
          <w:szCs w:val="22"/>
          <w:color w:val="auto"/>
        </w:rPr>
        <w:t>beginning in 2026 thru March 31, 2027, the Company shall pay to the Executive a salary at a rate of not less than One Million Two Hundred Thousand Dollars ($1,200,000) per annum. The Executive’s salary shall be payable in substantially equal installments in accordance with the Company’s normal payroll practices applicable to senior executives. Subject to the first sentence of this Section 4(a), the Executive’s salary may be adjusted from time to time in accordance with normal business practices of the Company.</w:t>
      </w:r>
    </w:p>
    <w:p>
      <w:pPr>
        <w:spacing w:after="0" w:line="152" w:lineRule="exact"/>
        <w:rPr>
          <w:sz w:val="20"/>
          <w:szCs w:val="20"/>
          <w:color w:val="auto"/>
        </w:rPr>
      </w:pPr>
    </w:p>
    <w:p>
      <w:pPr>
        <w:jc w:val="both"/>
        <w:ind w:firstLine="1304"/>
        <w:spacing w:after="0" w:line="244" w:lineRule="auto"/>
        <w:tabs>
          <w:tab w:leader="none" w:pos="1939"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 xml:space="preserve">Bonus. </w:t>
      </w:r>
      <w:r>
        <w:rPr>
          <w:rFonts w:ascii="Arial" w:cs="Arial" w:eastAsia="Arial" w:hAnsi="Arial"/>
          <w:sz w:val="19"/>
          <w:szCs w:val="19"/>
          <w:color w:val="auto"/>
        </w:rPr>
        <w:t>During the Term of Employment, the Executive shall be eligible to receive an annual bonus paid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the Company’s existing incentive bonus plan under which the Executive is eligible (which is currently the Incentive Compensation Plan) or any replacement plan that may subsequently be established and in effect during the Term of Employment. The current target annual bonus the Executive is eligible to earn upon achievement of 100% of all applicable performance targets under such incentive bonus plan is (i) </w:t>
      </w:r>
      <w:r>
        <w:rPr>
          <w:rFonts w:ascii="Arial" w:cs="Arial" w:eastAsia="Arial" w:hAnsi="Arial"/>
          <w:sz w:val="19"/>
          <w:szCs w:val="19"/>
          <w:b w:val="1"/>
          <w:bCs w:val="1"/>
          <w:color w:val="auto"/>
        </w:rPr>
        <w:t>200%</w:t>
      </w:r>
      <w:r>
        <w:rPr>
          <w:rFonts w:ascii="Arial" w:cs="Arial" w:eastAsia="Arial" w:hAnsi="Arial"/>
          <w:sz w:val="19"/>
          <w:szCs w:val="19"/>
          <w:color w:val="auto"/>
        </w:rPr>
        <w:t xml:space="preserve"> of the Executive’s then effective annual salary rate thru the last day of Company’s fiscal year beginning in 2025 and (ii) 150% of the Executive’s annual salary rate from the first day of the fiscal year beginning in 2026 thru March 31, 2027, with a full bonus for the fiscal year beginning in 2027 (without pro-ration). Annual bonuses are not earned until the date any such bonus is paid in accordance with the terms of the applicable bonus plan. As such, the Executive’s termination for Cause or Voluntary Termination (as described in Sections 6(c) and 6(f), respectively) prior to the Company’s payment of the bonus for a fiscal year of the Company will cause the Executive to be ineligible for any annual bonus for that fiscal year or any pro-rata portion of such bonus.</w:t>
      </w:r>
    </w:p>
    <w:p>
      <w:pPr>
        <w:spacing w:after="0" w:line="370" w:lineRule="exact"/>
        <w:rPr>
          <w:rFonts w:ascii="Arial" w:cs="Arial" w:eastAsia="Arial" w:hAnsi="Arial"/>
          <w:sz w:val="19"/>
          <w:szCs w:val="19"/>
          <w:color w:val="auto"/>
        </w:rPr>
      </w:pPr>
    </w:p>
    <w:p>
      <w:pPr>
        <w:jc w:val="both"/>
        <w:ind w:firstLine="1304"/>
        <w:spacing w:after="0" w:line="220" w:lineRule="auto"/>
        <w:tabs>
          <w:tab w:leader="none" w:pos="1603"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Expenses. </w:t>
      </w:r>
      <w:r>
        <w:rPr>
          <w:rFonts w:ascii="Arial" w:cs="Arial" w:eastAsia="Arial" w:hAnsi="Arial"/>
          <w:sz w:val="22"/>
          <w:szCs w:val="22"/>
          <w:color w:val="auto"/>
        </w:rPr>
        <w:t>During the Term of Employment, the Executive shall be entitled to receive prompt reimbursement</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reasonable expenses incurred by the Executive in performing services hereunder, including, but not limited to, all reasonable expenses of travel and living while away from home, provided that such expenses are incurred and accounted for in accordance with the policies and procedures established by the Company.</w:t>
      </w:r>
    </w:p>
    <w:p>
      <w:pPr>
        <w:spacing w:after="0" w:line="152" w:lineRule="exact"/>
        <w:rPr>
          <w:rFonts w:ascii="Arial" w:cs="Arial" w:eastAsia="Arial" w:hAnsi="Arial"/>
          <w:sz w:val="22"/>
          <w:szCs w:val="22"/>
          <w:color w:val="auto"/>
        </w:rPr>
      </w:pPr>
    </w:p>
    <w:p>
      <w:pPr>
        <w:jc w:val="both"/>
        <w:ind w:firstLine="1304"/>
        <w:spacing w:after="0" w:line="244" w:lineRule="auto"/>
        <w:tabs>
          <w:tab w:leader="none" w:pos="1656"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 xml:space="preserve">Benefits. </w:t>
      </w:r>
      <w:r>
        <w:rPr>
          <w:rFonts w:ascii="Arial" w:cs="Arial" w:eastAsia="Arial" w:hAnsi="Arial"/>
          <w:sz w:val="19"/>
          <w:szCs w:val="19"/>
          <w:color w:val="auto"/>
        </w:rPr>
        <w:t>During the Term of Employment, the Executive shall be entitled to participate in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Company’s employee benefit plans and arrangements in which senior executives of the Company are eligible to participate. The Company shall not make any changes in such plans or arrangements which would adversely affect the Executive’s rights or benefits thereunder, unless such change occurs pursuant to a program applicable to all senior executives of the Company and does not result in a proportionately greater reduction in the rights or benefits of the Executive as compared with any other similarly situated senior executive of the Company. The Executive shall be entitled to participate in, or receive benefits under, any employee benefit plan or arrangement made available by the Company in the future to its senior executives, subject to, and on a basis consistent with, the terms, conditions and overall administration of such plans and arrangements. Except as otherwise specifically provided herein, nothing paid to the Executive under any plan or arrangement presently in effect or made available in the future shall be in lieu of the salary or bonus otherwise payable under this Agreement.</w:t>
      </w:r>
    </w:p>
    <w:p>
      <w:pPr>
        <w:spacing w:after="0" w:line="154" w:lineRule="exact"/>
        <w:rPr>
          <w:rFonts w:ascii="Arial" w:cs="Arial" w:eastAsia="Arial" w:hAnsi="Arial"/>
          <w:sz w:val="19"/>
          <w:szCs w:val="19"/>
          <w:color w:val="auto"/>
        </w:rPr>
      </w:pPr>
    </w:p>
    <w:p>
      <w:pPr>
        <w:jc w:val="both"/>
        <w:ind w:firstLine="1304"/>
        <w:spacing w:after="0" w:line="215" w:lineRule="auto"/>
        <w:tabs>
          <w:tab w:leader="none" w:pos="1603"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Vacations. </w:t>
      </w:r>
      <w:r>
        <w:rPr>
          <w:rFonts w:ascii="Arial" w:cs="Arial" w:eastAsia="Arial" w:hAnsi="Arial"/>
          <w:sz w:val="22"/>
          <w:szCs w:val="22"/>
          <w:color w:val="auto"/>
        </w:rPr>
        <w:t>During the Term of Employment, the Executive shall be entitled to</w:t>
      </w:r>
      <w:r>
        <w:rPr>
          <w:rFonts w:ascii="Arial" w:cs="Arial" w:eastAsia="Arial" w:hAnsi="Arial"/>
          <w:sz w:val="22"/>
          <w:szCs w:val="22"/>
          <w:b w:val="1"/>
          <w:bCs w:val="1"/>
          <w:color w:val="auto"/>
        </w:rPr>
        <w:t xml:space="preserve"> twenty-five </w:t>
      </w:r>
      <w:r>
        <w:rPr>
          <w:rFonts w:ascii="Arial" w:cs="Arial" w:eastAsia="Arial" w:hAnsi="Arial"/>
          <w:sz w:val="22"/>
          <w:szCs w:val="22"/>
          <w:color w:val="auto"/>
        </w:rPr>
        <w:t>vacation days in</w:t>
      </w:r>
      <w:r>
        <w:rPr>
          <w:rFonts w:ascii="Arial" w:cs="Arial" w:eastAsia="Arial" w:hAnsi="Arial"/>
          <w:sz w:val="22"/>
          <w:szCs w:val="22"/>
          <w:b w:val="1"/>
          <w:bCs w:val="1"/>
          <w:color w:val="auto"/>
        </w:rPr>
        <w:t xml:space="preserve"> </w:t>
      </w:r>
      <w:r>
        <w:rPr>
          <w:rFonts w:ascii="Arial" w:cs="Arial" w:eastAsia="Arial" w:hAnsi="Arial"/>
          <w:sz w:val="22"/>
          <w:szCs w:val="22"/>
          <w:color w:val="auto"/>
        </w:rPr>
        <w:t>each calendar year, determined in accordance with the Company’s vacation plan. The Executive shall also be entitled to all paid holidays given by the Company to its senior executives. Unused vacation days shall not be forfeited once they have been earned and, if still unused at the time of the Executive’s termination of employment with the Company, shall be promptly paid to the Executive at their then-current value, based on the Executive’s daily salary rate at the time of the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28" w:name="page29"/>
    <w:bookmarkEnd w:id="28"/>
    <w:p>
      <w:pPr>
        <w:jc w:val="both"/>
        <w:ind w:firstLine="1304"/>
        <w:spacing w:after="0" w:line="225" w:lineRule="auto"/>
        <w:tabs>
          <w:tab w:leader="none" w:pos="1606" w:val="left"/>
        </w:tabs>
        <w:numPr>
          <w:ilvl w:val="1"/>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Services Furnished. </w:t>
      </w:r>
      <w:r>
        <w:rPr>
          <w:rFonts w:ascii="Arial" w:cs="Arial" w:eastAsia="Arial" w:hAnsi="Arial"/>
          <w:sz w:val="22"/>
          <w:szCs w:val="22"/>
          <w:color w:val="auto"/>
        </w:rPr>
        <w:t>The Company shall furnish the Executive with office space and such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as are suitable to the Executive’s position and adequate for the performance of the Executive’s duties during the Term of Employment.</w:t>
      </w:r>
    </w:p>
    <w:p>
      <w:pPr>
        <w:spacing w:after="0" w:line="152" w:lineRule="exact"/>
        <w:rPr>
          <w:rFonts w:ascii="Arial" w:cs="Arial" w:eastAsia="Arial" w:hAnsi="Arial"/>
          <w:sz w:val="22"/>
          <w:szCs w:val="22"/>
          <w:color w:val="auto"/>
        </w:rPr>
      </w:pPr>
    </w:p>
    <w:p>
      <w:pPr>
        <w:jc w:val="both"/>
        <w:ind w:firstLine="1304"/>
        <w:spacing w:after="0" w:line="225" w:lineRule="auto"/>
        <w:tabs>
          <w:tab w:leader="none" w:pos="1602" w:val="left"/>
        </w:tabs>
        <w:numPr>
          <w:ilvl w:val="1"/>
          <w:numId w:val="16"/>
        </w:numPr>
        <w:rPr>
          <w:rFonts w:ascii="Arial" w:cs="Arial" w:eastAsia="Arial" w:hAnsi="Arial"/>
          <w:sz w:val="22"/>
          <w:szCs w:val="22"/>
          <w:color w:val="auto"/>
        </w:rPr>
      </w:pPr>
      <w:r>
        <w:rPr>
          <w:rFonts w:ascii="Arial" w:cs="Arial" w:eastAsia="Arial" w:hAnsi="Arial"/>
          <w:sz w:val="22"/>
          <w:szCs w:val="22"/>
          <w:b w:val="1"/>
          <w:bCs w:val="1"/>
          <w:color w:val="auto"/>
        </w:rPr>
        <w:t>Lifetime Benefits</w:t>
      </w:r>
      <w:r>
        <w:rPr>
          <w:rFonts w:ascii="Arial" w:cs="Arial" w:eastAsia="Arial" w:hAnsi="Arial"/>
          <w:sz w:val="22"/>
          <w:szCs w:val="22"/>
          <w:color w:val="auto"/>
        </w:rPr>
        <w:t>. The Executive and her spouse shall be entitled to the lifetime benefits specified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4(g) of her Executive Employment Agreement, dated March 16, 2021 (the “2021 Agreement”), subject to the terms and conditions of such Section.</w:t>
      </w:r>
    </w:p>
    <w:p>
      <w:pPr>
        <w:spacing w:after="0" w:line="152" w:lineRule="exact"/>
        <w:rPr>
          <w:rFonts w:ascii="Arial" w:cs="Arial" w:eastAsia="Arial" w:hAnsi="Arial"/>
          <w:sz w:val="22"/>
          <w:szCs w:val="22"/>
          <w:color w:val="auto"/>
        </w:rPr>
      </w:pPr>
    </w:p>
    <w:p>
      <w:pPr>
        <w:ind w:firstLine="1304"/>
        <w:spacing w:after="0" w:line="235" w:lineRule="auto"/>
        <w:tabs>
          <w:tab w:leader="none" w:pos="1602" w:val="left"/>
        </w:tabs>
        <w:numPr>
          <w:ilvl w:val="1"/>
          <w:numId w:val="16"/>
        </w:numPr>
        <w:rPr>
          <w:rFonts w:ascii="Arial" w:cs="Arial" w:eastAsia="Arial" w:hAnsi="Arial"/>
          <w:sz w:val="22"/>
          <w:szCs w:val="22"/>
          <w:color w:val="auto"/>
        </w:rPr>
      </w:pPr>
      <w:r>
        <w:rPr>
          <w:rFonts w:ascii="Arial" w:cs="Arial" w:eastAsia="Arial" w:hAnsi="Arial"/>
          <w:sz w:val="22"/>
          <w:szCs w:val="22"/>
          <w:b w:val="1"/>
          <w:bCs w:val="1"/>
          <w:color w:val="auto"/>
        </w:rPr>
        <w:t>Retention Bonus</w:t>
      </w:r>
      <w:r>
        <w:rPr>
          <w:rFonts w:ascii="Arial" w:cs="Arial" w:eastAsia="Arial" w:hAnsi="Arial"/>
          <w:sz w:val="22"/>
          <w:szCs w:val="22"/>
          <w:color w:val="auto"/>
        </w:rPr>
        <w:t>. The Executive shall be entitled to the Retention Bonus specified in Section 4(h) of the 2021</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subject to the terms and conditions of such Section.</w:t>
      </w:r>
    </w:p>
    <w:p>
      <w:pPr>
        <w:spacing w:after="0" w:line="179" w:lineRule="exact"/>
        <w:rPr>
          <w:rFonts w:ascii="Arial" w:cs="Arial" w:eastAsia="Arial" w:hAnsi="Arial"/>
          <w:sz w:val="22"/>
          <w:szCs w:val="22"/>
          <w:color w:val="auto"/>
        </w:rPr>
      </w:pPr>
    </w:p>
    <w:p>
      <w:pPr>
        <w:jc w:val="both"/>
        <w:ind w:firstLine="1304"/>
        <w:spacing w:after="0" w:line="246" w:lineRule="auto"/>
        <w:tabs>
          <w:tab w:leader="none" w:pos="1554" w:val="left"/>
        </w:tabs>
        <w:numPr>
          <w:ilvl w:val="1"/>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Performance Share Awards – 2024 thru 2027. </w:t>
      </w:r>
      <w:r>
        <w:rPr>
          <w:rFonts w:ascii="Arial" w:cs="Arial" w:eastAsia="Arial" w:hAnsi="Arial"/>
          <w:sz w:val="19"/>
          <w:szCs w:val="19"/>
          <w:color w:val="auto"/>
        </w:rPr>
        <w:t>The Executive shall be eligible to receive Performance Share</w:t>
      </w:r>
      <w:r>
        <w:rPr>
          <w:rFonts w:ascii="Arial" w:cs="Arial" w:eastAsia="Arial" w:hAnsi="Arial"/>
          <w:sz w:val="19"/>
          <w:szCs w:val="19"/>
          <w:b w:val="1"/>
          <w:bCs w:val="1"/>
          <w:color w:val="auto"/>
        </w:rPr>
        <w:t xml:space="preserve"> </w:t>
      </w:r>
      <w:r>
        <w:rPr>
          <w:rFonts w:ascii="Arial" w:cs="Arial" w:eastAsia="Arial" w:hAnsi="Arial"/>
          <w:sz w:val="19"/>
          <w:szCs w:val="19"/>
          <w:color w:val="auto"/>
        </w:rPr>
        <w:t>Awards for the fiscal years beginning in 2024, 2025, 2026 and 2027 (“2024, 2025, 2026 and 2027 PS Grants”, respectively) consistent with the existing practice of the Company. Except as otherwise provided in the applicable Performance Share Agreements, Unvested Common Shares issued in settlement of the 2025, 2026 and 2027 PS Grants shall vest and become Vested Common Shares on March 31, 2027, provided the Executive continues service with the Company through such date. The terms and conditions of such awards shall be set forth in the respective Notices of Grant of Performance Shares and Performance Share Agreements and the 2017 Equity Incentive Plan or successor plan (the “PS Documents”). Capitalized terms in this Section 4(i) shall have the meanings assigned to such terms in the PS Documents.</w:t>
      </w:r>
    </w:p>
    <w:p>
      <w:pPr>
        <w:spacing w:after="0" w:line="179" w:lineRule="exact"/>
        <w:rPr>
          <w:rFonts w:ascii="Arial" w:cs="Arial" w:eastAsia="Arial" w:hAnsi="Arial"/>
          <w:sz w:val="19"/>
          <w:szCs w:val="19"/>
          <w:color w:val="auto"/>
        </w:rPr>
      </w:pPr>
    </w:p>
    <w:p>
      <w:pPr>
        <w:jc w:val="both"/>
        <w:ind w:firstLine="1304"/>
        <w:spacing w:after="0" w:line="227" w:lineRule="auto"/>
        <w:tabs>
          <w:tab w:leader="none" w:pos="1554" w:val="left"/>
        </w:tabs>
        <w:numPr>
          <w:ilvl w:val="1"/>
          <w:numId w:val="16"/>
        </w:numPr>
        <w:rPr>
          <w:rFonts w:ascii="Arial" w:cs="Arial" w:eastAsia="Arial" w:hAnsi="Arial"/>
          <w:sz w:val="21"/>
          <w:szCs w:val="21"/>
          <w:color w:val="auto"/>
        </w:rPr>
      </w:pPr>
      <w:r>
        <w:rPr>
          <w:rFonts w:ascii="Arial" w:cs="Arial" w:eastAsia="Arial" w:hAnsi="Arial"/>
          <w:sz w:val="21"/>
          <w:szCs w:val="21"/>
          <w:b w:val="1"/>
          <w:bCs w:val="1"/>
          <w:color w:val="auto"/>
        </w:rPr>
        <w:t xml:space="preserve">Restricted Stock Awards – 2024 thru 2026. </w:t>
      </w:r>
      <w:r>
        <w:rPr>
          <w:rFonts w:ascii="Arial" w:cs="Arial" w:eastAsia="Arial" w:hAnsi="Arial"/>
          <w:sz w:val="21"/>
          <w:szCs w:val="21"/>
          <w:color w:val="auto"/>
        </w:rPr>
        <w:t>The Executive shall be eligible to receive Restricted Stock Share</w:t>
      </w:r>
      <w:r>
        <w:rPr>
          <w:rFonts w:ascii="Arial" w:cs="Arial" w:eastAsia="Arial" w:hAnsi="Arial"/>
          <w:sz w:val="21"/>
          <w:szCs w:val="21"/>
          <w:b w:val="1"/>
          <w:bCs w:val="1"/>
          <w:color w:val="auto"/>
        </w:rPr>
        <w:t xml:space="preserve"> </w:t>
      </w:r>
      <w:r>
        <w:rPr>
          <w:rFonts w:ascii="Arial" w:cs="Arial" w:eastAsia="Arial" w:hAnsi="Arial"/>
          <w:sz w:val="21"/>
          <w:szCs w:val="21"/>
          <w:color w:val="auto"/>
        </w:rPr>
        <w:t>Awards for the fiscal years beginning in 2024, 2025, and 2026 consistent with the existing practice of the Company. The terms and conditions of such awards shall be set forth in the respective Notices of Grant of Restricted Stock and Restricted Stock Agreements and the 2017 Equity Incentive Plan or successor plan (the “RS Documents”). Capitalized terms in this Section 4(j) shall have the meanings assigned to such terms in the RS Documents.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5" w:lineRule="exact"/>
        <w:rPr>
          <w:rFonts w:ascii="Arial" w:cs="Arial" w:eastAsia="Arial" w:hAnsi="Arial"/>
          <w:sz w:val="21"/>
          <w:szCs w:val="21"/>
          <w:color w:val="auto"/>
        </w:rPr>
      </w:pPr>
    </w:p>
    <w:p>
      <w:pPr>
        <w:ind w:left="1300" w:hanging="644"/>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Confidential Information and Intellectual Property.</w:t>
      </w:r>
    </w:p>
    <w:p>
      <w:pPr>
        <w:spacing w:after="0" w:line="77" w:lineRule="exact"/>
        <w:rPr>
          <w:rFonts w:ascii="Arial" w:cs="Arial" w:eastAsia="Arial" w:hAnsi="Arial"/>
          <w:sz w:val="22"/>
          <w:szCs w:val="22"/>
          <w:color w:val="auto"/>
        </w:rPr>
      </w:pPr>
    </w:p>
    <w:p>
      <w:pPr>
        <w:ind w:firstLine="1304"/>
        <w:spacing w:after="0" w:line="232" w:lineRule="auto"/>
        <w:tabs>
          <w:tab w:leader="none" w:pos="1941"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This Agreement is intended to supplement, and not to supersede, any rights the Company may have in law or equity with respect to the protection of trade secrets or confidential or proprietary information.</w:t>
      </w:r>
    </w:p>
    <w:p>
      <w:pPr>
        <w:spacing w:after="0" w:line="158" w:lineRule="exact"/>
        <w:rPr>
          <w:rFonts w:ascii="Arial" w:cs="Arial" w:eastAsia="Arial" w:hAnsi="Arial"/>
          <w:sz w:val="22"/>
          <w:szCs w:val="22"/>
          <w:color w:val="auto"/>
        </w:rPr>
      </w:pPr>
    </w:p>
    <w:p>
      <w:pPr>
        <w:jc w:val="both"/>
        <w:ind w:firstLine="1304"/>
        <w:spacing w:after="0" w:line="216" w:lineRule="auto"/>
        <w:tabs>
          <w:tab w:leader="none" w:pos="1939" w:val="left"/>
        </w:tabs>
        <w:numPr>
          <w:ilvl w:val="1"/>
          <w:numId w:val="17"/>
        </w:numPr>
        <w:rPr>
          <w:rFonts w:ascii="Arial" w:cs="Arial" w:eastAsia="Arial" w:hAnsi="Arial"/>
          <w:sz w:val="22"/>
          <w:szCs w:val="22"/>
          <w:color w:val="auto"/>
        </w:rPr>
      </w:pPr>
      <w:r>
        <w:rPr>
          <w:rFonts w:ascii="Arial" w:cs="Arial" w:eastAsia="Arial" w:hAnsi="Arial"/>
          <w:sz w:val="22"/>
          <w:szCs w:val="22"/>
          <w:color w:val="auto"/>
        </w:rPr>
        <w:t>Other than in the performance of the Executive’s duties hereunder, the Executive agrees not to use in any manner or disclose, distribute, publish, communicate or in any way cause to be used, disclosed, distributed, published, or communicated in any way or at any time, either while in the Company's employ or at any time thereafter, to any person not employed by the Company, or not engaged to render services to the Company, any Confidential Information (as defined below) obtained while in the employ of the Company.</w:t>
      </w:r>
    </w:p>
    <w:p>
      <w:pPr>
        <w:spacing w:after="0" w:line="157" w:lineRule="exact"/>
        <w:rPr>
          <w:rFonts w:ascii="Arial" w:cs="Arial" w:eastAsia="Arial" w:hAnsi="Arial"/>
          <w:sz w:val="22"/>
          <w:szCs w:val="22"/>
          <w:color w:val="auto"/>
        </w:rPr>
      </w:pPr>
    </w:p>
    <w:p>
      <w:pPr>
        <w:jc w:val="both"/>
        <w:ind w:firstLine="1304"/>
        <w:spacing w:after="0" w:line="234" w:lineRule="auto"/>
        <w:tabs>
          <w:tab w:leader="none" w:pos="1941" w:val="left"/>
        </w:tabs>
        <w:numPr>
          <w:ilvl w:val="1"/>
          <w:numId w:val="17"/>
        </w:numPr>
        <w:rPr>
          <w:rFonts w:ascii="Arial" w:cs="Arial" w:eastAsia="Arial" w:hAnsi="Arial"/>
          <w:sz w:val="21"/>
          <w:szCs w:val="21"/>
          <w:color w:val="auto"/>
        </w:rPr>
      </w:pPr>
      <w:r>
        <w:rPr>
          <w:rFonts w:ascii="Arial" w:cs="Arial" w:eastAsia="Arial" w:hAnsi="Arial"/>
          <w:sz w:val="21"/>
          <w:szCs w:val="21"/>
          <w:color w:val="auto"/>
        </w:rPr>
        <w:t>Confidential Information includes any written or unwritten information which relates to and/or is used by the Company or its subsidiaries, affiliates or divisions, including, without limitation: (i) the names, addresses, buying habits and other special information regarding past, present and potential customers, employees and suppliers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95" w:right="339" w:bottom="1440" w:gutter="0" w:footer="0" w:header="0"/>
        </w:sectPr>
      </w:pPr>
    </w:p>
    <w:bookmarkStart w:id="29" w:name="page30"/>
    <w:bookmarkEnd w:id="29"/>
    <w:p>
      <w:pPr>
        <w:jc w:val="both"/>
        <w:spacing w:after="0"/>
        <w:rPr>
          <w:sz w:val="20"/>
          <w:szCs w:val="20"/>
          <w:color w:val="auto"/>
        </w:rPr>
      </w:pPr>
      <w:r>
        <w:rPr>
          <w:rFonts w:ascii="Arial" w:cs="Arial" w:eastAsia="Arial" w:hAnsi="Arial"/>
          <w:sz w:val="19"/>
          <w:szCs w:val="19"/>
          <w:color w:val="auto"/>
        </w:rPr>
        <w:t>Company; (ii) customer and supplier contracts and transactions or price lists of the Company and suppliers; (iii) methods of distribution; (iv) all agreements, files, books, logs, charts, records, studies, reports, processes, schedules and statistical information; (v) data, figures, projections, estimates, pricing data, customer lists, buying manuals or procedures, distribution manuals or procedures, and other policy and procedure manuals or handbooks; (vi) supplier information, tax records, personnel histories and records, sales information and property information; (vii) information regarding the present or future phases of business; (viii) ideas, inventions, trademarks, business information, know-how, processes, techniques, improvements, designs, redesigns, creations, discoveries, trade secrets, and developments; (ix) all computer software licensed or developed by the Company or its subsidiaries, affiliates or divisions, computer programs, computer-based and web-based training programs, and systems; and (x) finances and financial information. However, Confidential Information will not include information of the Company or its subsidiaries, affiliates or divisions that (1) became or becomes a matter of public knowledge through sources independent of the Executive, (2) has been or is disclosed by the Company or its subsidiaries, affiliates or divisions without restriction on its use, or (3) has been or is required or specifically permitted to be disclosed by law or governmental order or regulation, provided that the disclosure does not exceed the extent of disclosure required by such law, order or regulation. The Executive shall provide prompt written notice of any such order to the Company’s Chairman or his or her designee sufficiently in advance of making any disclosure to permit the Company to contest the order or seek confidentiality protections, as determined in the Company’s sole and absolute discretion. The Executive agrees that, if there is any reasonable doubt whether an item is public knowledge, the Executive will not regard the item as public knowledge until and unless the Company’s Chairman confirms to the Executive that the information is public knowledge.</w:t>
      </w:r>
    </w:p>
    <w:p>
      <w:pPr>
        <w:spacing w:after="0" w:line="390" w:lineRule="exact"/>
        <w:rPr>
          <w:sz w:val="20"/>
          <w:szCs w:val="20"/>
          <w:color w:val="auto"/>
        </w:rPr>
      </w:pPr>
    </w:p>
    <w:p>
      <w:pPr>
        <w:jc w:val="both"/>
        <w:ind w:firstLine="1304"/>
        <w:spacing w:after="0" w:line="234" w:lineRule="auto"/>
        <w:tabs>
          <w:tab w:leader="none" w:pos="1939"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provisions of this Section 5 shall not preclude the Executive from disclosing such information to the Executive's professional tax advisor or legal counsel solely to the extent necessary to the rendering of their professional services to the Executive if such individuals agree to keep such information confidential.</w:t>
      </w:r>
    </w:p>
    <w:p>
      <w:pPr>
        <w:spacing w:after="0" w:line="157" w:lineRule="exact"/>
        <w:rPr>
          <w:rFonts w:ascii="Arial" w:cs="Arial" w:eastAsia="Arial" w:hAnsi="Arial"/>
          <w:sz w:val="21"/>
          <w:szCs w:val="21"/>
          <w:color w:val="auto"/>
        </w:rPr>
      </w:pPr>
    </w:p>
    <w:p>
      <w:pPr>
        <w:jc w:val="both"/>
        <w:ind w:firstLine="1304"/>
        <w:spacing w:after="0" w:line="246" w:lineRule="auto"/>
        <w:tabs>
          <w:tab w:leader="none" w:pos="1941"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Notwithstanding the foregoing, the U.S. Defend Trade Secrets Act of 2016 (“DTSA”) provides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2" w:lineRule="exact"/>
        <w:rPr>
          <w:rFonts w:ascii="Arial" w:cs="Arial" w:eastAsia="Arial" w:hAnsi="Arial"/>
          <w:sz w:val="19"/>
          <w:szCs w:val="19"/>
          <w:color w:val="auto"/>
        </w:rPr>
      </w:pPr>
    </w:p>
    <w:p>
      <w:pPr>
        <w:jc w:val="both"/>
        <w:ind w:firstLine="1304"/>
        <w:spacing w:after="0" w:line="223" w:lineRule="auto"/>
        <w:tabs>
          <w:tab w:leader="none" w:pos="1944"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Executive agrees that upon leaving the Company’s employ the Executive will remain reasonably available to answer questions from Company officers regarding the Executive’s former duties and responsibilities and the knowledge the Executive obtained in connection therewith.</w:t>
      </w:r>
    </w:p>
    <w:p>
      <w:pPr>
        <w:spacing w:after="0" w:line="158" w:lineRule="exact"/>
        <w:rPr>
          <w:rFonts w:ascii="Arial" w:cs="Arial" w:eastAsia="Arial" w:hAnsi="Arial"/>
          <w:sz w:val="22"/>
          <w:szCs w:val="22"/>
          <w:color w:val="auto"/>
        </w:rPr>
      </w:pPr>
    </w:p>
    <w:p>
      <w:pPr>
        <w:jc w:val="both"/>
        <w:ind w:firstLine="1304"/>
        <w:spacing w:after="0" w:line="229" w:lineRule="auto"/>
        <w:tabs>
          <w:tab w:leader="none" w:pos="1939"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Executive agrees that upon leaving the Company's employ the Executive will not communicate directly or indirectly with, or give statements to, any member of the media (including print, television, radio or social media) relating to any matter (including pending or threatened lawsuits or administrative investigations) about which the Executive has knowledge or information (other than knowledge or information that is not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30" w:name="page31"/>
    <w:bookmarkEnd w:id="30"/>
    <w:p>
      <w:pPr>
        <w:spacing w:after="0" w:line="298" w:lineRule="auto"/>
        <w:rPr>
          <w:sz w:val="20"/>
          <w:szCs w:val="20"/>
          <w:color w:val="auto"/>
        </w:rPr>
      </w:pPr>
      <w:r>
        <w:rPr>
          <w:rFonts w:ascii="Arial" w:cs="Arial" w:eastAsia="Arial" w:hAnsi="Arial"/>
          <w:sz w:val="19"/>
          <w:szCs w:val="19"/>
          <w:color w:val="auto"/>
        </w:rPr>
        <w:t>Information) as a result of employment with the Company. The Executive further agrees to notify the Chairman or his or her designee immediately after being contacted by any member of the media with respect to any matter affected by this section.</w:t>
      </w:r>
    </w:p>
    <w:p>
      <w:pPr>
        <w:spacing w:after="0" w:line="105" w:lineRule="exact"/>
        <w:rPr>
          <w:sz w:val="20"/>
          <w:szCs w:val="20"/>
          <w:color w:val="auto"/>
        </w:rPr>
      </w:pPr>
    </w:p>
    <w:p>
      <w:pPr>
        <w:jc w:val="both"/>
        <w:ind w:firstLine="1304"/>
        <w:spacing w:after="0"/>
        <w:tabs>
          <w:tab w:leader="none" w:pos="1939"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Executive agrees that all information, inventions and discoveries, whether or not patented or patentable, protected by a copyright or copyrightable, or registered as a trademark or eligible to be registered as a trademark, made or conceived by the Executive, either alone or with others, at any time while employed by the Company, which arise out of such employment or is pertinent to any field of business or research in which, during such employment, the Company, its subsidiaries, affiliates or divisions is engaged or (if such is known to or ascertainable by the Executive) is considering engaging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shall (i) be and remain the sole property of the Company and the Executive shall not seek a patent or copyright or trademark protection with respect to such Intellectual Property without the prior consent of an authorized representative of the Company and (ii) be disclosed promptly to an authorized representative of the Company along with all information the Executive possesses with regard to possible applications and uses. Further, at the request of the Company, and without expense or additional compensation to the Executive, the Executive agrees to, during and after Executive’s employment, execute such documents and perform such other acts as the Company deems necessary to obtain, perfect, maintain, protect and enforce patents on such Intellectual Property in a jurisdiction or jurisdictions designated by the Company, and to assign and transfer to the Company or its designee all such Intellectual Property rights and all patent applications and patents relating thereto. The Executive hereby irrevocably grants the Company power of attorney to execute and deliver any such documents on the Executive’s behalf in Executive’s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affected by the Executive’s subsequent incapacity.</w:t>
      </w:r>
    </w:p>
    <w:p>
      <w:pPr>
        <w:spacing w:after="0" w:line="387" w:lineRule="exact"/>
        <w:rPr>
          <w:rFonts w:ascii="Arial" w:cs="Arial" w:eastAsia="Arial" w:hAnsi="Arial"/>
          <w:sz w:val="19"/>
          <w:szCs w:val="19"/>
          <w:color w:val="auto"/>
        </w:rPr>
      </w:pPr>
    </w:p>
    <w:p>
      <w:pPr>
        <w:jc w:val="both"/>
        <w:ind w:firstLine="1304"/>
        <w:spacing w:after="0" w:line="257" w:lineRule="auto"/>
        <w:tabs>
          <w:tab w:leader="none" w:pos="1932" w:val="left"/>
        </w:tabs>
        <w:numPr>
          <w:ilvl w:val="0"/>
          <w:numId w:val="19"/>
        </w:numPr>
        <w:rPr>
          <w:rFonts w:ascii="Arial" w:cs="Arial" w:eastAsia="Arial" w:hAnsi="Arial"/>
          <w:sz w:val="19"/>
          <w:szCs w:val="19"/>
          <w:color w:val="auto"/>
        </w:rPr>
      </w:pPr>
      <w:r>
        <w:rPr>
          <w:rFonts w:ascii="Arial" w:cs="Arial" w:eastAsia="Arial" w:hAnsi="Arial"/>
          <w:sz w:val="19"/>
          <w:szCs w:val="19"/>
          <w:color w:val="auto"/>
        </w:rPr>
        <w:t>Executive represents and warrants that, as of the Effective Date, there is no Intellectual Property that: (i) has been created by or on behalf of Executive, and/or (ii) is owned exclusively by Executive or jointly by Executive with others or in which Executive has an interest, and that relate in any way to any of the Company’s actual or proposed businesses, products, services, or research and development, and which are not assigned to the Company hereunder.</w:t>
      </w:r>
    </w:p>
    <w:p>
      <w:pPr>
        <w:spacing w:after="0" w:line="144" w:lineRule="exact"/>
        <w:rPr>
          <w:rFonts w:ascii="Arial" w:cs="Arial" w:eastAsia="Arial" w:hAnsi="Arial"/>
          <w:sz w:val="19"/>
          <w:szCs w:val="19"/>
          <w:color w:val="auto"/>
        </w:rPr>
      </w:pPr>
    </w:p>
    <w:p>
      <w:pPr>
        <w:jc w:val="both"/>
        <w:ind w:firstLine="1304"/>
        <w:spacing w:after="0" w:line="234" w:lineRule="auto"/>
        <w:tabs>
          <w:tab w:leader="none" w:pos="1932"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Executive and the Company agree that the Executive intends all original works of authorship within the purview of the copyright laws of the United States authored or created by the Executive in the course of the Executive’s employment with the Company will be works for hire within the meaning of such copyright law.</w:t>
      </w:r>
    </w:p>
    <w:p>
      <w:pPr>
        <w:spacing w:after="0" w:line="157" w:lineRule="exact"/>
        <w:rPr>
          <w:rFonts w:ascii="Arial" w:cs="Arial" w:eastAsia="Arial" w:hAnsi="Arial"/>
          <w:sz w:val="21"/>
          <w:szCs w:val="21"/>
          <w:color w:val="auto"/>
        </w:rPr>
      </w:pPr>
    </w:p>
    <w:p>
      <w:pPr>
        <w:jc w:val="both"/>
        <w:ind w:firstLine="1304"/>
        <w:spacing w:after="0" w:line="249" w:lineRule="auto"/>
        <w:tabs>
          <w:tab w:leader="none" w:pos="1939" w:val="left"/>
        </w:tabs>
        <w:numPr>
          <w:ilvl w:val="0"/>
          <w:numId w:val="19"/>
        </w:numPr>
        <w:rPr>
          <w:rFonts w:ascii="Arial" w:cs="Arial" w:eastAsia="Arial" w:hAnsi="Arial"/>
          <w:sz w:val="19"/>
          <w:szCs w:val="19"/>
          <w:color w:val="auto"/>
        </w:rPr>
      </w:pPr>
      <w:r>
        <w:rPr>
          <w:rFonts w:ascii="Arial" w:cs="Arial" w:eastAsia="Arial" w:hAnsi="Arial"/>
          <w:sz w:val="19"/>
          <w:szCs w:val="19"/>
          <w:color w:val="auto"/>
        </w:rPr>
        <w:t>Upon termination of the Executive’s employment, or at any time upon request of the Company, the Executive will (i) promptly return to the Company all Confidential Information and Intellectual Property, in any form, including but not limited to letters, memoranda, reports, notes, notebooks, books of account, drawings, prints, specifications, formulae, data printouts, microfilms, magnetic tapes, disks, recordings, documents, and all copies thereof, and (ii) delete or destroy all copies of any such documents and materials not returned to the Company that remain in the Executive’s possession or control, including those stored on any non-Company devices, networks, storage locations, and media in the Executive’s possession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31" w:name="page32"/>
    <w:bookmarkEnd w:id="31"/>
    <w:p>
      <w:pPr>
        <w:ind w:left="1300"/>
        <w:spacing w:after="0"/>
        <w:rPr>
          <w:sz w:val="20"/>
          <w:szCs w:val="20"/>
          <w:color w:val="auto"/>
        </w:rPr>
      </w:pPr>
      <w:r>
        <w:rPr>
          <w:rFonts w:ascii="Arial" w:cs="Arial" w:eastAsia="Arial" w:hAnsi="Arial"/>
          <w:sz w:val="19"/>
          <w:szCs w:val="19"/>
          <w:color w:val="auto"/>
        </w:rPr>
        <w:t>(l) Nothing in this Agreement shall limit the Executive’s right to disclose sexual harassment or sexual assault</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disputes.</w:t>
      </w:r>
    </w:p>
    <w:p>
      <w:pPr>
        <w:spacing w:after="0" w:line="15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The Executive’s employment may be terminated during the Term of Employment only as follows:</w:t>
      </w:r>
    </w:p>
    <w:p>
      <w:pPr>
        <w:spacing w:after="0" w:line="213" w:lineRule="exact"/>
        <w:rPr>
          <w:rFonts w:ascii="Arial" w:cs="Arial" w:eastAsia="Arial" w:hAnsi="Arial"/>
          <w:sz w:val="19"/>
          <w:szCs w:val="19"/>
          <w:color w:val="auto"/>
        </w:rPr>
      </w:pPr>
    </w:p>
    <w:p>
      <w:pPr>
        <w:ind w:left="1940" w:hanging="636"/>
        <w:spacing w:after="0"/>
        <w:tabs>
          <w:tab w:leader="none" w:pos="1940"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Death. </w:t>
      </w:r>
      <w:r>
        <w:rPr>
          <w:rFonts w:ascii="Arial" w:cs="Arial" w:eastAsia="Arial" w:hAnsi="Arial"/>
          <w:sz w:val="22"/>
          <w:szCs w:val="22"/>
          <w:color w:val="auto"/>
        </w:rPr>
        <w:t>The Executive’s employment shall terminate upon the Executive’s death.</w:t>
      </w:r>
    </w:p>
    <w:p>
      <w:pPr>
        <w:spacing w:after="0" w:line="179" w:lineRule="exact"/>
        <w:rPr>
          <w:rFonts w:ascii="Arial" w:cs="Arial" w:eastAsia="Arial" w:hAnsi="Arial"/>
          <w:sz w:val="22"/>
          <w:szCs w:val="22"/>
          <w:color w:val="auto"/>
        </w:rPr>
      </w:pPr>
    </w:p>
    <w:p>
      <w:pPr>
        <w:jc w:val="both"/>
        <w:ind w:firstLine="1304"/>
        <w:spacing w:after="0" w:line="245" w:lineRule="auto"/>
        <w:tabs>
          <w:tab w:leader="none" w:pos="1939" w:val="left"/>
        </w:tabs>
        <w:numPr>
          <w:ilvl w:val="1"/>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If, as a result of the Executive’s Disability (as defined below), the Executive shall have been</w:t>
      </w:r>
      <w:r>
        <w:rPr>
          <w:rFonts w:ascii="Arial" w:cs="Arial" w:eastAsia="Arial" w:hAnsi="Arial"/>
          <w:sz w:val="19"/>
          <w:szCs w:val="19"/>
          <w:b w:val="1"/>
          <w:bCs w:val="1"/>
          <w:color w:val="auto"/>
        </w:rPr>
        <w:t xml:space="preserve"> </w:t>
      </w:r>
      <w:r>
        <w:rPr>
          <w:rFonts w:ascii="Arial" w:cs="Arial" w:eastAsia="Arial" w:hAnsi="Arial"/>
          <w:sz w:val="19"/>
          <w:szCs w:val="19"/>
          <w:color w:val="auto"/>
        </w:rPr>
        <w:t>absent from the Executive’s duties hereunder on a full-time basis for the entire period of six consecutive months, and, within thirty days after written notice of termination is given by the Company (which may occur before or after the end of such six-month period), the Executive shall not have returned to the performance of the Executive’s duties hereunder on a full-time basis, the Executive’s employment shall terminate. For purposes of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have the same meaning as ascribed to such term under the Company's long-term disability plan in which Executive is participating; provided that in the absence of such plan (or the absence of Executive's participation in such plan), Disability shall mean Executive’s inability to substantially perform Executive’s duties hereunder due to a medically determinable physical or mental impairment which has lasted for a period of not less than one hundred twenty (120) consecutive days.</w:t>
      </w:r>
    </w:p>
    <w:p>
      <w:pPr>
        <w:spacing w:after="0" w:line="152" w:lineRule="exact"/>
        <w:rPr>
          <w:rFonts w:ascii="Arial" w:cs="Arial" w:eastAsia="Arial" w:hAnsi="Arial"/>
          <w:sz w:val="19"/>
          <w:szCs w:val="19"/>
          <w:color w:val="auto"/>
        </w:rPr>
      </w:pPr>
    </w:p>
    <w:p>
      <w:pPr>
        <w:jc w:val="both"/>
        <w:ind w:firstLine="1304"/>
        <w:spacing w:after="0" w:line="241" w:lineRule="auto"/>
        <w:tabs>
          <w:tab w:leader="none" w:pos="1941" w:val="left"/>
        </w:tabs>
        <w:numPr>
          <w:ilvl w:val="1"/>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For Cause. </w:t>
      </w:r>
      <w:r>
        <w:rPr>
          <w:rFonts w:ascii="Arial" w:cs="Arial" w:eastAsia="Arial" w:hAnsi="Arial"/>
          <w:sz w:val="19"/>
          <w:szCs w:val="19"/>
          <w:color w:val="auto"/>
        </w:rPr>
        <w:t>The Company may terminate the Executive’s employment for Cause. For this purpose,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the occurrence of any of the following (i) the Executive’s repeated failure to substantially perform the Executive’s duties hereunder (unless such failure is a result of a Disability as defined in Section 6(b)); (ii) the Executive’s theft, dishonesty, breach of fiduciary duty for personal profit or falsification of any documents of the Company; (iii) the Executive’s material failure to abide by the applicable code(s) of conduct or other policies (including, without limitation, policies relating to confidentiality and reasonable workplace conduct) of the Company; (iv) knowing or intentional misconduct by the Executive as a result of which the Company is required to prepare an accounting restatement; (v) the Executive’s unauthorized use, misappropriation, destruction or diversion of any tangible or intangible asset or corporate opportunity of the Company (including, without limitation, the Executive’s improper use or disclosure of confidential or proprietary information of the Company); (vi) any intentional misconduct or illegal or grossly negligent conduct by the Executive which is materially injurious to the Company monetarily or otherwise; (vii) any material breach by the Executive of the provisions of Section 9 [Certain Employment Obligations] of this Agreement; or (viii) the Executive’s conviction (including any plea of guilty or nolo contendere) of any criminal act involving fraud, dishonesty, misappropriation, or moral turpitude, or which materially impairs the Executive’s ability to perform Executive’s duties with the Company. A termination for Cause shall not take effect unless: (1) the Executive is given written notice by the Company of its intention to terminate the Executive for Cause; (2) the notice specifically identifies the particular act or acts or failure or failures to act which are the basis for such termination; and (3) where practicable, the notice is given within sixty days of the Company’s learning of such act or acts or failure or failures to act.</w:t>
      </w:r>
    </w:p>
    <w:p>
      <w:pPr>
        <w:spacing w:after="0" w:line="377" w:lineRule="exact"/>
        <w:rPr>
          <w:rFonts w:ascii="Arial" w:cs="Arial" w:eastAsia="Arial" w:hAnsi="Arial"/>
          <w:sz w:val="19"/>
          <w:szCs w:val="19"/>
          <w:color w:val="auto"/>
        </w:rPr>
      </w:pPr>
    </w:p>
    <w:p>
      <w:pPr>
        <w:jc w:val="both"/>
        <w:ind w:firstLine="1304"/>
        <w:spacing w:after="0" w:line="220" w:lineRule="auto"/>
        <w:tabs>
          <w:tab w:leader="none" w:pos="1939"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Without Cause. </w:t>
      </w:r>
      <w:r>
        <w:rPr>
          <w:rFonts w:ascii="Arial" w:cs="Arial" w:eastAsia="Arial" w:hAnsi="Arial"/>
          <w:sz w:val="22"/>
          <w:szCs w:val="22"/>
          <w:color w:val="auto"/>
        </w:rPr>
        <w:t>The Company may terminate the Executive’s employment at any time Without Cause. A</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w:t>
      </w:r>
      <w:r>
        <w:rPr>
          <w:rFonts w:ascii="Arial" w:cs="Arial" w:eastAsia="Arial" w:hAnsi="Arial"/>
          <w:sz w:val="22"/>
          <w:szCs w:val="22"/>
          <w:u w:val="single" w:color="auto"/>
          <w:color w:val="auto"/>
        </w:rPr>
        <w:t>Without Cause</w:t>
      </w:r>
      <w:r>
        <w:rPr>
          <w:rFonts w:ascii="Arial" w:cs="Arial" w:eastAsia="Arial" w:hAnsi="Arial"/>
          <w:sz w:val="22"/>
          <w:szCs w:val="22"/>
          <w:color w:val="auto"/>
        </w:rPr>
        <w:t>” is a termination by the Company of the Executive’s employment with the Company for any reasons other than the death or Disability of the Executive or the termination by the Company of the Executive for Cause as described in Section 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32" w:name="page33"/>
    <w:bookmarkEnd w:id="32"/>
    <w:p>
      <w:pPr>
        <w:ind w:left="1940" w:hanging="636"/>
        <w:spacing w:after="0"/>
        <w:tabs>
          <w:tab w:leader="none" w:pos="1940"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Termination by the Executive for Good Reason.</w:t>
      </w:r>
    </w:p>
    <w:p>
      <w:pPr>
        <w:spacing w:after="0" w:line="179" w:lineRule="exact"/>
        <w:rPr>
          <w:rFonts w:ascii="Arial" w:cs="Arial" w:eastAsia="Arial" w:hAnsi="Arial"/>
          <w:sz w:val="22"/>
          <w:szCs w:val="22"/>
          <w:color w:val="auto"/>
        </w:rPr>
      </w:pPr>
    </w:p>
    <w:p>
      <w:pPr>
        <w:jc w:val="both"/>
        <w:ind w:firstLine="1952"/>
        <w:spacing w:after="0" w:line="241" w:lineRule="auto"/>
        <w:tabs>
          <w:tab w:leader="none" w:pos="2580" w:val="left"/>
        </w:tabs>
        <w:numPr>
          <w:ilvl w:val="1"/>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Termination Not in Connection with a Change in Control. </w:t>
      </w:r>
      <w:r>
        <w:rPr>
          <w:rFonts w:ascii="Arial" w:cs="Arial" w:eastAsia="Arial" w:hAnsi="Arial"/>
          <w:sz w:val="19"/>
          <w:szCs w:val="19"/>
          <w:color w:val="auto"/>
        </w:rPr>
        <w:t>At any time during the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other than within the period commencing one month prior to and ending twelve months following a Change in Control (as defined below in Section 8(d)(ii)), the Executive may terminate the Executive’s employment with the Company for “</w:t>
      </w:r>
      <w:r>
        <w:rPr>
          <w:rFonts w:ascii="Arial" w:cs="Arial" w:eastAsia="Arial" w:hAnsi="Arial"/>
          <w:sz w:val="19"/>
          <w:szCs w:val="19"/>
          <w:u w:val="single" w:color="auto"/>
          <w:color w:val="auto"/>
        </w:rPr>
        <w:t>Good Reason</w:t>
      </w:r>
      <w:r>
        <w:rPr>
          <w:rFonts w:ascii="Arial" w:cs="Arial" w:eastAsia="Arial" w:hAnsi="Arial"/>
          <w:sz w:val="19"/>
          <w:szCs w:val="19"/>
          <w:color w:val="auto"/>
        </w:rPr>
        <w:t xml:space="preserve">,” which shall be deemed to occur if, within sixty days after receipt of written notice to the Company by the Executive of the occurrence of one or more of the following conditions, any of the following conditions have not been cured: (i) a failure by the Company to comply with any material provision of this Agreement (including but not limited to the reduction of the Executive’s salary or the target annual bonus opportunity set forth in Section 4(b)); (ii) a significant diminishment in the nature or scope of the authority, power, function, or duty attached to the position which the Executive currently maintains without the express written consent of the Executive; </w:t>
      </w:r>
      <w:r>
        <w:rPr>
          <w:rFonts w:ascii="Arial" w:cs="Arial" w:eastAsia="Arial" w:hAnsi="Arial"/>
          <w:sz w:val="19"/>
          <w:szCs w:val="19"/>
          <w:i w:val="1"/>
          <w:iCs w:val="1"/>
          <w:color w:val="auto"/>
        </w:rPr>
        <w:t>provided</w:t>
      </w:r>
      <w:r>
        <w:rPr>
          <w:rFonts w:ascii="Arial" w:cs="Arial" w:eastAsia="Arial" w:hAnsi="Arial"/>
          <w:sz w:val="19"/>
          <w:szCs w:val="19"/>
          <w:color w:val="auto"/>
        </w:rPr>
        <w:t>, that the Executive’s employment may be transferred, assigned, or re-assigned to Ross Stores, Inc. or a division, affiliate, or subsidiary of Ross Stores, Inc.; the division, affiliate, or subsidiary with respect to which the Executive is performing services may be reorganized; and the Executive’s direct reports or the person or title of the person to whom the Executive reports may be changed; and no such transfer, assignment, re-assignment, reorganization, or change shall constitute “Good Reason” for the Executive’s termination of employment under this Section 6(e)(i); or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151" w:lineRule="exact"/>
        <w:rPr>
          <w:rFonts w:ascii="Arial" w:cs="Arial" w:eastAsia="Arial" w:hAnsi="Arial"/>
          <w:sz w:val="19"/>
          <w:szCs w:val="19"/>
          <w:color w:val="auto"/>
        </w:rPr>
      </w:pPr>
    </w:p>
    <w:p>
      <w:pPr>
        <w:jc w:val="both"/>
        <w:ind w:firstLine="1952"/>
        <w:spacing w:after="0" w:line="241" w:lineRule="auto"/>
        <w:tabs>
          <w:tab w:leader="none" w:pos="2586" w:val="left"/>
        </w:tabs>
        <w:numPr>
          <w:ilvl w:val="1"/>
          <w:numId w:val="21"/>
        </w:numPr>
        <w:rPr>
          <w:rFonts w:ascii="Arial" w:cs="Arial" w:eastAsia="Arial" w:hAnsi="Arial"/>
          <w:sz w:val="19"/>
          <w:szCs w:val="19"/>
          <w:color w:val="auto"/>
        </w:rPr>
      </w:pPr>
      <w:r>
        <w:rPr>
          <w:rFonts w:ascii="Arial" w:cs="Arial" w:eastAsia="Arial" w:hAnsi="Arial"/>
          <w:sz w:val="19"/>
          <w:szCs w:val="19"/>
          <w:b w:val="1"/>
          <w:bCs w:val="1"/>
          <w:color w:val="auto"/>
        </w:rPr>
        <w:t xml:space="preserve">Termination in Connection with a Change in Control. </w:t>
      </w:r>
      <w:r>
        <w:rPr>
          <w:rFonts w:ascii="Arial" w:cs="Arial" w:eastAsia="Arial" w:hAnsi="Arial"/>
          <w:sz w:val="19"/>
          <w:szCs w:val="19"/>
          <w:color w:val="auto"/>
        </w:rPr>
        <w:t>Within the period commencing a month</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and ending twelve months following a Change in Control, the Executive may terminate the Executive’s employment with the Company for “Good Reason,” which shall be deemed to occur if, within sixty days after receipt of written notice to the Company by the Executive of the occurrence of one or more of the following conditions, any of the following conditions have not been cured: (i) a failure by the Company to comply with any provision of this Agreement (including, but not limited to, the reduction of the Executive’s salary, the target annual bonus opportunity or any other incentive opportunity, in each case, as of immediately prior to the Change in Control); (ii) a change in title, the nature or scope of the authority, power, function, responsibilities, reporting relationships, or duty attached to the position which the Executive currently maintains without the express written consent of the Executive; (iii) the relocation of the Executive’s Principal Place of Employment as described in Section 3 to a location that increases the regular one-way commute distance between the Executive’s residence and Principal Place of Employment by more than 25 miles without the Executive’s prior written consent; (iv) a change in the benefits to which the Executive is entitled to immediately prior to the Change in Control; or (v) the failure of the Company to assign this Agreement to any successor to the Company. In order to constitute a termination of employment for Good Reason, the Executive must provide written notice to the Company of the existence of the condition giving rise to the Good Reason termination within sixty days of the initial existence of the condition, and in the event such condition is cured by the Company within sixty days from its receipt of such written notice, the termination shall not constitute a termination for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95" w:right="339" w:bottom="1440" w:gutter="0" w:footer="0" w:header="0"/>
        </w:sectPr>
      </w:pPr>
    </w:p>
    <w:bookmarkStart w:id="33" w:name="page34"/>
    <w:bookmarkEnd w:id="33"/>
    <w:p>
      <w:pPr>
        <w:jc w:val="both"/>
        <w:ind w:firstLine="1304"/>
        <w:spacing w:after="0" w:line="225"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b w:val="1"/>
          <w:bCs w:val="1"/>
          <w:color w:val="auto"/>
        </w:rPr>
        <w:t xml:space="preserve">Voluntary Termination. </w:t>
      </w:r>
      <w:r>
        <w:rPr>
          <w:rFonts w:ascii="Arial" w:cs="Arial" w:eastAsia="Arial" w:hAnsi="Arial"/>
          <w:sz w:val="22"/>
          <w:szCs w:val="22"/>
          <w:color w:val="auto"/>
        </w:rPr>
        <w:t>The Executive may voluntarily resign from the Executive’s employment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at any time (a “</w:t>
      </w:r>
      <w:r>
        <w:rPr>
          <w:rFonts w:ascii="Arial" w:cs="Arial" w:eastAsia="Arial" w:hAnsi="Arial"/>
          <w:sz w:val="22"/>
          <w:szCs w:val="22"/>
          <w:u w:val="single" w:color="auto"/>
          <w:color w:val="auto"/>
        </w:rPr>
        <w:t>Voluntary Termination</w:t>
      </w:r>
      <w:r>
        <w:rPr>
          <w:rFonts w:ascii="Arial" w:cs="Arial" w:eastAsia="Arial" w:hAnsi="Arial"/>
          <w:sz w:val="22"/>
          <w:szCs w:val="22"/>
          <w:color w:val="auto"/>
        </w:rPr>
        <w:t>”). A voluntary resignation from employment by the Executive for Good Reason pursuant to Section 6(e) shall not be deemed a Voluntary Termination.</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Notice and Effective Date of Termination.</w:t>
      </w:r>
    </w:p>
    <w:p>
      <w:pPr>
        <w:spacing w:after="0" w:line="179" w:lineRule="exact"/>
        <w:rPr>
          <w:rFonts w:ascii="Arial" w:cs="Arial" w:eastAsia="Arial" w:hAnsi="Arial"/>
          <w:sz w:val="22"/>
          <w:szCs w:val="22"/>
          <w:color w:val="auto"/>
        </w:rPr>
      </w:pPr>
    </w:p>
    <w:p>
      <w:pPr>
        <w:jc w:val="both"/>
        <w:ind w:firstLine="1304"/>
        <w:spacing w:after="0" w:line="215" w:lineRule="auto"/>
        <w:tabs>
          <w:tab w:leader="none" w:pos="1941" w:val="left"/>
        </w:tabs>
        <w:numPr>
          <w:ilvl w:val="1"/>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Any termination of the Executive’s employment by the Company or by the Executive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of Employment (other than as a result of the death of the Executive) shall be communicated by written notice of termination to the other party hereto. Such notice shall indicate the specific termination provision in this Agreement relied upon and, except in the case of termination Without Cause and Voluntary Termination as described in Sections 6(d) and 6(f), respectively, shall set forth in reasonable detail the facts and circumstances claimed to provide a basis for termination of the Executive’s employment under that provision.</w:t>
      </w:r>
    </w:p>
    <w:p>
      <w:pPr>
        <w:spacing w:after="0" w:line="152" w:lineRule="exact"/>
        <w:rPr>
          <w:rFonts w:ascii="Arial" w:cs="Arial" w:eastAsia="Arial" w:hAnsi="Arial"/>
          <w:sz w:val="22"/>
          <w:szCs w:val="22"/>
          <w:color w:val="auto"/>
        </w:rPr>
      </w:pPr>
    </w:p>
    <w:p>
      <w:pPr>
        <w:ind w:left="1940" w:hanging="636"/>
        <w:spacing w:after="0"/>
        <w:tabs>
          <w:tab w:leader="none" w:pos="1940" w:val="left"/>
        </w:tabs>
        <w:numPr>
          <w:ilvl w:val="1"/>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Date of Termination. </w:t>
      </w:r>
      <w:r>
        <w:rPr>
          <w:rFonts w:ascii="Arial" w:cs="Arial" w:eastAsia="Arial" w:hAnsi="Arial"/>
          <w:sz w:val="22"/>
          <w:szCs w:val="22"/>
          <w:color w:val="auto"/>
        </w:rPr>
        <w:t>The date of termination of the Executive’s employment shall be:</w:t>
      </w:r>
    </w:p>
    <w:p>
      <w:pPr>
        <w:spacing w:after="0" w:line="166" w:lineRule="exact"/>
        <w:rPr>
          <w:rFonts w:ascii="Arial" w:cs="Arial" w:eastAsia="Arial" w:hAnsi="Arial"/>
          <w:sz w:val="22"/>
          <w:szCs w:val="22"/>
          <w:color w:val="auto"/>
        </w:rPr>
      </w:pPr>
    </w:p>
    <w:p>
      <w:pPr>
        <w:ind w:left="2580" w:hanging="628"/>
        <w:spacing w:after="0"/>
        <w:tabs>
          <w:tab w:leader="none" w:pos="2580" w:val="left"/>
        </w:tabs>
        <w:numPr>
          <w:ilvl w:val="2"/>
          <w:numId w:val="23"/>
        </w:numPr>
        <w:rPr>
          <w:rFonts w:ascii="Arial" w:cs="Arial" w:eastAsia="Arial" w:hAnsi="Arial"/>
          <w:sz w:val="22"/>
          <w:szCs w:val="22"/>
          <w:color w:val="auto"/>
        </w:rPr>
      </w:pPr>
      <w:r>
        <w:rPr>
          <w:rFonts w:ascii="Arial" w:cs="Arial" w:eastAsia="Arial" w:hAnsi="Arial"/>
          <w:sz w:val="22"/>
          <w:szCs w:val="22"/>
          <w:color w:val="auto"/>
        </w:rPr>
        <w:t>if the Executive’s employment is terminated due to the Executive’s death, the date of the</w:t>
      </w:r>
    </w:p>
    <w:p>
      <w:pPr>
        <w:spacing w:after="0"/>
        <w:rPr>
          <w:rFonts w:ascii="Arial" w:cs="Arial" w:eastAsia="Arial" w:hAnsi="Arial"/>
          <w:sz w:val="22"/>
          <w:szCs w:val="22"/>
          <w:color w:val="auto"/>
        </w:rPr>
      </w:pPr>
      <w:r>
        <w:rPr>
          <w:rFonts w:ascii="Arial" w:cs="Arial" w:eastAsia="Arial" w:hAnsi="Arial"/>
          <w:sz w:val="22"/>
          <w:szCs w:val="22"/>
          <w:color w:val="auto"/>
        </w:rPr>
        <w:t>Executive’s death;</w:t>
      </w:r>
    </w:p>
    <w:p>
      <w:pPr>
        <w:spacing w:after="0" w:line="161" w:lineRule="exact"/>
        <w:rPr>
          <w:rFonts w:ascii="Arial" w:cs="Arial" w:eastAsia="Arial" w:hAnsi="Arial"/>
          <w:sz w:val="22"/>
          <w:szCs w:val="22"/>
          <w:color w:val="auto"/>
        </w:rPr>
      </w:pPr>
    </w:p>
    <w:p>
      <w:pPr>
        <w:jc w:val="both"/>
        <w:ind w:firstLine="1952"/>
        <w:spacing w:after="0" w:line="223" w:lineRule="auto"/>
        <w:tabs>
          <w:tab w:leader="none" w:pos="2586" w:val="left"/>
        </w:tabs>
        <w:numPr>
          <w:ilvl w:val="2"/>
          <w:numId w:val="23"/>
        </w:numPr>
        <w:rPr>
          <w:rFonts w:ascii="Arial" w:cs="Arial" w:eastAsia="Arial" w:hAnsi="Arial"/>
          <w:sz w:val="22"/>
          <w:szCs w:val="22"/>
          <w:color w:val="auto"/>
        </w:rPr>
      </w:pPr>
      <w:r>
        <w:rPr>
          <w:rFonts w:ascii="Arial" w:cs="Arial" w:eastAsia="Arial" w:hAnsi="Arial"/>
          <w:sz w:val="22"/>
          <w:szCs w:val="22"/>
          <w:color w:val="auto"/>
        </w:rPr>
        <w:t>if the Executive’s employment is terminated due to Disability pursuant to Section 6(b), the date of termination shall be the last to occur of the 31st day following delivery of the notice of termination to the Executive by the Company or the end of the consecutive six-month period referred to in Section 6(b); and</w:t>
      </w:r>
    </w:p>
    <w:p>
      <w:pPr>
        <w:spacing w:after="0" w:line="158" w:lineRule="exact"/>
        <w:rPr>
          <w:rFonts w:ascii="Arial" w:cs="Arial" w:eastAsia="Arial" w:hAnsi="Arial"/>
          <w:sz w:val="22"/>
          <w:szCs w:val="22"/>
          <w:color w:val="auto"/>
        </w:rPr>
      </w:pPr>
    </w:p>
    <w:p>
      <w:pPr>
        <w:jc w:val="both"/>
        <w:ind w:firstLine="1952"/>
        <w:spacing w:after="0" w:line="223" w:lineRule="auto"/>
        <w:tabs>
          <w:tab w:leader="none" w:pos="2592" w:val="left"/>
        </w:tabs>
        <w:numPr>
          <w:ilvl w:val="2"/>
          <w:numId w:val="23"/>
        </w:numPr>
        <w:rPr>
          <w:rFonts w:ascii="Arial" w:cs="Arial" w:eastAsia="Arial" w:hAnsi="Arial"/>
          <w:sz w:val="22"/>
          <w:szCs w:val="22"/>
          <w:color w:val="auto"/>
        </w:rPr>
      </w:pPr>
      <w:r>
        <w:rPr>
          <w:rFonts w:ascii="Arial" w:cs="Arial" w:eastAsia="Arial" w:hAnsi="Arial"/>
          <w:sz w:val="22"/>
          <w:szCs w:val="22"/>
          <w:color w:val="auto"/>
        </w:rPr>
        <w:t>if the Executive’s employment is terminated for any other reason by either party, the date on which a notice of termination is delivered to the other party or, in the event of the Company’s termination of the Executive, such date as the Company may specify in such notice.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Compensation and Benefits Upon Termination.</w:t>
      </w:r>
    </w:p>
    <w:p>
      <w:pPr>
        <w:spacing w:after="0" w:line="179" w:lineRule="exact"/>
        <w:rPr>
          <w:rFonts w:ascii="Arial" w:cs="Arial" w:eastAsia="Arial" w:hAnsi="Arial"/>
          <w:sz w:val="22"/>
          <w:szCs w:val="22"/>
          <w:color w:val="auto"/>
        </w:rPr>
      </w:pPr>
    </w:p>
    <w:p>
      <w:pPr>
        <w:jc w:val="both"/>
        <w:ind w:firstLine="1304"/>
        <w:spacing w:after="0" w:line="244" w:lineRule="auto"/>
        <w:tabs>
          <w:tab w:leader="none" w:pos="1941" w:val="left"/>
        </w:tabs>
        <w:numPr>
          <w:ilvl w:val="1"/>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Termination Due To Disability, Without Cause, or For Good Reason. </w:t>
      </w:r>
      <w:r>
        <w:rPr>
          <w:rFonts w:ascii="Arial" w:cs="Arial" w:eastAsia="Arial" w:hAnsi="Arial"/>
          <w:sz w:val="19"/>
          <w:szCs w:val="19"/>
          <w:color w:val="auto"/>
        </w:rPr>
        <w:t>If the Executive’s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terminates pursuant to Section 6(b) [Disability], Section 6(d) [Without Cause], or Section 6(e)(i) [Termination by Executive for Good Reason Not in Connection with a Change in Control], then, subject to Section 22 [Compliance with Section 409A], in addition to all salary, annual bonuses, expense reimbursements, benefits and accrued vacation days earned by the Executive pursuant to Section 4 through the date of the Executive’s termination of employment, the Executive shall be entitled to the compensation and benefits set forth in Sections 8(a)(i) through (vii), provided that within sixty days following the Executive’s termination of employment (i) the Executive has executed and delivered to the Company a general release of claims against the Company and its subsidiaries, affiliates, stockholders, directors, officers, employees, agents, successors, and assigns in the current form approved by the Company and attached as Exhibit A (provided, however, that the Company may modify such release in Exhibit A from time to time solely as needed to comply with federal, state or local laws in effect at the time such release is to be executed) (the “</w:t>
      </w:r>
      <w:r>
        <w:rPr>
          <w:rFonts w:ascii="Arial" w:cs="Arial" w:eastAsia="Arial" w:hAnsi="Arial"/>
          <w:sz w:val="19"/>
          <w:szCs w:val="19"/>
          <w:u w:val="single" w:color="auto"/>
          <w:color w:val="auto"/>
        </w:rPr>
        <w:t>Release</w:t>
      </w:r>
      <w:r>
        <w:rPr>
          <w:rFonts w:ascii="Arial" w:cs="Arial" w:eastAsia="Arial" w:hAnsi="Arial"/>
          <w:sz w:val="19"/>
          <w:szCs w:val="19"/>
          <w:color w:val="auto"/>
        </w:rPr>
        <w:t>”), and (ii) the Release has become irrevocable:</w:t>
      </w:r>
    </w:p>
    <w:p>
      <w:pPr>
        <w:spacing w:after="0" w:line="148" w:lineRule="exact"/>
        <w:rPr>
          <w:rFonts w:ascii="Arial" w:cs="Arial" w:eastAsia="Arial" w:hAnsi="Arial"/>
          <w:sz w:val="19"/>
          <w:szCs w:val="19"/>
          <w:color w:val="auto"/>
        </w:rPr>
      </w:pPr>
    </w:p>
    <w:p>
      <w:pPr>
        <w:ind w:right="20" w:firstLine="1952"/>
        <w:spacing w:after="0" w:line="235" w:lineRule="auto"/>
        <w:tabs>
          <w:tab w:leader="none" w:pos="2580" w:val="left"/>
        </w:tabs>
        <w:numPr>
          <w:ilvl w:val="2"/>
          <w:numId w:val="23"/>
        </w:numPr>
        <w:rPr>
          <w:rFonts w:ascii="Arial" w:cs="Arial" w:eastAsia="Arial" w:hAnsi="Arial"/>
          <w:sz w:val="22"/>
          <w:szCs w:val="22"/>
          <w:color w:val="auto"/>
        </w:rPr>
      </w:pPr>
      <w:r>
        <w:rPr>
          <w:rFonts w:ascii="Arial" w:cs="Arial" w:eastAsia="Arial" w:hAnsi="Arial"/>
          <w:sz w:val="22"/>
          <w:szCs w:val="22"/>
          <w:b w:val="1"/>
          <w:bCs w:val="1"/>
          <w:color w:val="auto"/>
        </w:rPr>
        <w:t xml:space="preserve">Salary. </w:t>
      </w:r>
      <w:r>
        <w:rPr>
          <w:rFonts w:ascii="Arial" w:cs="Arial" w:eastAsia="Arial" w:hAnsi="Arial"/>
          <w:sz w:val="22"/>
          <w:szCs w:val="22"/>
          <w:color w:val="auto"/>
        </w:rPr>
        <w:t>Commencing on the sixtieth day after the date of the Executive's termination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the Company shall continue to pay to the Executive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18" w:lineRule="auto"/>
        <w:rPr>
          <w:sz w:val="20"/>
          <w:szCs w:val="20"/>
          <w:color w:val="auto"/>
        </w:rPr>
      </w:pPr>
      <w:r>
        <w:rPr>
          <w:rFonts w:ascii="Arial" w:cs="Arial" w:eastAsia="Arial" w:hAnsi="Arial"/>
          <w:sz w:val="22"/>
          <w:szCs w:val="22"/>
          <w:color w:val="auto"/>
        </w:rPr>
        <w:t>Executive’s salary, at the rate in effect immediately prior to such termination of employment, through the remainder of the Term of Employment then in effect; provided, however, that any such salary otherwise payable during the 60-day period immediately following the date of such termination of employment shall be paid to the Executive sixty days following such termination of employment.</w:t>
      </w:r>
    </w:p>
    <w:p>
      <w:pPr>
        <w:spacing w:after="0" w:line="155" w:lineRule="exact"/>
        <w:rPr>
          <w:sz w:val="20"/>
          <w:szCs w:val="20"/>
          <w:color w:val="auto"/>
        </w:rPr>
      </w:pPr>
    </w:p>
    <w:p>
      <w:pPr>
        <w:jc w:val="both"/>
        <w:ind w:firstLine="1952"/>
        <w:spacing w:after="0" w:line="244" w:lineRule="auto"/>
        <w:tabs>
          <w:tab w:leader="none" w:pos="2586"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 xml:space="preserve">Bonus. </w:t>
      </w:r>
      <w:r>
        <w:rPr>
          <w:rFonts w:ascii="Arial" w:cs="Arial" w:eastAsia="Arial" w:hAnsi="Arial"/>
          <w:sz w:val="19"/>
          <w:szCs w:val="19"/>
          <w:color w:val="auto"/>
        </w:rPr>
        <w:t>The Company shall continue to pay to the Executive an annual bonus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remainder of the Term of Employment then in effect; provided, however, that the amount of the annual bonus determined in accordance with this Section 8(a) (ii) for the fiscal year of the Company (“Fiscal Year”) in which such Term of Employment ends shall be prorated on the basis of the number of days of such Term of Employment occurring within such Fiscal Year. The amount of each annual bonus payable pursuant to this Section 8(a)(ii), prior to any proration, shall be equal to the annual bonus that the Executive would have earned had no such termination under Section 8(a) occurred, contingent on the relevant annual bonus plan performance goals for the respective year having been obtained. However, in no case shall any such annual bonus, prior to proration, attributable to any Fiscal Year commencing on or after the first day of the Fiscal Year in which the Executive’s termination of employment occurs, exceed 100% of the Executive's target bonus for the Fiscal Year in which the Executive's termination of employment occurs. Such bonuses shall be paid on the later of the date they would otherwise be paid in accordance with the applicable Company bonus plan or sixty days after the date of the Executive's termination of employment.</w:t>
      </w:r>
    </w:p>
    <w:p>
      <w:pPr>
        <w:spacing w:after="0" w:line="148" w:lineRule="exact"/>
        <w:rPr>
          <w:rFonts w:ascii="Arial" w:cs="Arial" w:eastAsia="Arial" w:hAnsi="Arial"/>
          <w:sz w:val="19"/>
          <w:szCs w:val="19"/>
          <w:color w:val="auto"/>
        </w:rPr>
      </w:pPr>
    </w:p>
    <w:p>
      <w:pPr>
        <w:jc w:val="both"/>
        <w:ind w:firstLine="1952"/>
        <w:spacing w:after="0" w:line="236" w:lineRule="auto"/>
        <w:tabs>
          <w:tab w:leader="none" w:pos="2592"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Stock Options. </w:t>
      </w:r>
      <w:r>
        <w:rPr>
          <w:rFonts w:ascii="Arial" w:cs="Arial" w:eastAsia="Arial" w:hAnsi="Arial"/>
          <w:sz w:val="21"/>
          <w:szCs w:val="21"/>
          <w:color w:val="auto"/>
        </w:rPr>
        <w:t>Stock options granted to the Executive by the Company and which remain</w:t>
      </w:r>
      <w:r>
        <w:rPr>
          <w:rFonts w:ascii="Arial" w:cs="Arial" w:eastAsia="Arial" w:hAnsi="Arial"/>
          <w:sz w:val="21"/>
          <w:szCs w:val="21"/>
          <w:b w:val="1"/>
          <w:bCs w:val="1"/>
          <w:color w:val="auto"/>
        </w:rPr>
        <w:t xml:space="preserve"> </w:t>
      </w:r>
      <w:r>
        <w:rPr>
          <w:rFonts w:ascii="Arial" w:cs="Arial" w:eastAsia="Arial" w:hAnsi="Arial"/>
          <w:sz w:val="21"/>
          <w:szCs w:val="21"/>
          <w:color w:val="auto"/>
        </w:rPr>
        <w:t>outstanding immediately prior to the date of termination of the Executive’s employment, as provided in Section 7(b), shall remain outstanding until and shall immediately become vested in full upon the Release becoming irrevocable.</w:t>
      </w:r>
    </w:p>
    <w:p>
      <w:pPr>
        <w:spacing w:after="0" w:line="151" w:lineRule="exact"/>
        <w:rPr>
          <w:rFonts w:ascii="Arial" w:cs="Arial" w:eastAsia="Arial" w:hAnsi="Arial"/>
          <w:sz w:val="21"/>
          <w:szCs w:val="21"/>
          <w:color w:val="auto"/>
        </w:rPr>
      </w:pPr>
    </w:p>
    <w:p>
      <w:pPr>
        <w:jc w:val="both"/>
        <w:ind w:firstLine="1952"/>
        <w:spacing w:after="0" w:line="242" w:lineRule="auto"/>
        <w:tabs>
          <w:tab w:leader="none" w:pos="2580" w:val="left"/>
        </w:tabs>
        <w:numPr>
          <w:ilvl w:val="0"/>
          <w:numId w:val="24"/>
        </w:numPr>
        <w:rPr>
          <w:rFonts w:ascii="Arial" w:cs="Arial" w:eastAsia="Arial" w:hAnsi="Arial"/>
          <w:sz w:val="19"/>
          <w:szCs w:val="19"/>
          <w:color w:val="auto"/>
        </w:rPr>
      </w:pPr>
      <w:r>
        <w:rPr>
          <w:rFonts w:ascii="Arial" w:cs="Arial" w:eastAsia="Arial" w:hAnsi="Arial"/>
          <w:sz w:val="19"/>
          <w:szCs w:val="19"/>
          <w:b w:val="1"/>
          <w:bCs w:val="1"/>
          <w:color w:val="auto"/>
        </w:rPr>
        <w:t xml:space="preserve">Restricted Stock. </w:t>
      </w:r>
      <w:r>
        <w:rPr>
          <w:rFonts w:ascii="Arial" w:cs="Arial" w:eastAsia="Arial" w:hAnsi="Arial"/>
          <w:sz w:val="19"/>
          <w:szCs w:val="19"/>
          <w:color w:val="auto"/>
        </w:rPr>
        <w:t>Shares of restricted stock granted to the Executive by the Company, according to</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terms of the Ross Stores, Inc. Restricted Stock Agreement, which have not become vested as of the date of termination of the Executive’s employment, as provided in Section 7(b), shall immediately become vested on a pro rata basis upon the Release becoming irrevocable. The number of such additional shares of restricted stock that shall become vested as of the date of the Executive’s termination of employment shall be that number of additional shares that would have become vested through the date of such termination of employment at the rate(s) determined under the vesting schedule applicable to such shares had such vesting schedule provided for the accrual of vesting on a daily basis (based on a 365 day year). The pro rata amount of shares vesting through the date of termination shall be calculated by multiplying the number of unvested shares scheduled to vest in each respective vesting year by the ratio of the number of days from the date of grant through the date of termination and the number of days from the date of grant through the original vesting date of the respective vesting tranche. Any shares of restricted stock remaining unvested after such pro rata vesting shall automatically be reacquired by the Company in accordance with the provisions of the applicable restricted stock agreement, and the Executive shall have no further rights in such unvested portion of the restricted stock. In addition, the Company shall waive any reacquisition or repayment rights for dividends paid on restricted stock prior to Executive’s termination of employment.</w:t>
      </w:r>
    </w:p>
    <w:p>
      <w:pPr>
        <w:spacing w:after="0" w:line="155" w:lineRule="exact"/>
        <w:rPr>
          <w:rFonts w:ascii="Arial" w:cs="Arial" w:eastAsia="Arial" w:hAnsi="Arial"/>
          <w:sz w:val="19"/>
          <w:szCs w:val="19"/>
          <w:color w:val="auto"/>
        </w:rPr>
      </w:pPr>
    </w:p>
    <w:p>
      <w:pPr>
        <w:jc w:val="both"/>
        <w:ind w:firstLine="1952"/>
        <w:spacing w:after="0" w:line="230" w:lineRule="auto"/>
        <w:tabs>
          <w:tab w:leader="none" w:pos="2587"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Performance Share Awards. </w:t>
      </w:r>
      <w:r>
        <w:rPr>
          <w:rFonts w:ascii="Arial" w:cs="Arial" w:eastAsia="Arial" w:hAnsi="Arial"/>
          <w:sz w:val="21"/>
          <w:szCs w:val="21"/>
          <w:color w:val="auto"/>
        </w:rPr>
        <w:t>On the Performance Share Vesting Date (as defined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Notice of Grant of Performance Shares and Performance Share Agreement from the Company (collectively the "</w:t>
      </w:r>
      <w:r>
        <w:rPr>
          <w:rFonts w:ascii="Arial" w:cs="Arial" w:eastAsia="Arial" w:hAnsi="Arial"/>
          <w:sz w:val="21"/>
          <w:szCs w:val="21"/>
          <w:u w:val="single" w:color="auto"/>
          <w:color w:val="auto"/>
        </w:rPr>
        <w:t>Performance Share Agreement</w:t>
      </w:r>
      <w:r>
        <w:rPr>
          <w:rFonts w:ascii="Arial" w:cs="Arial" w:eastAsia="Arial" w:hAnsi="Arial"/>
          <w:sz w:val="21"/>
          <w:szCs w:val="21"/>
          <w:color w:val="auto"/>
        </w:rPr>
        <w:t>")) next following the Executive's date of termination of employment, the number of Performance Shares that shall become Vested Performance Shares (as defined in the Performance Share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35" w:name="page36"/>
    <w:bookmarkEnd w:id="35"/>
    <w:p>
      <w:pPr>
        <w:jc w:val="both"/>
        <w:spacing w:after="0" w:line="247" w:lineRule="auto"/>
        <w:rPr>
          <w:sz w:val="20"/>
          <w:szCs w:val="20"/>
          <w:color w:val="auto"/>
        </w:rPr>
      </w:pPr>
      <w:r>
        <w:rPr>
          <w:rFonts w:ascii="Arial" w:cs="Arial" w:eastAsia="Arial" w:hAnsi="Arial"/>
          <w:sz w:val="19"/>
          <w:szCs w:val="19"/>
          <w:color w:val="auto"/>
        </w:rPr>
        <w:t>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date of the Executive’s termination of employment.</w:t>
      </w:r>
    </w:p>
    <w:p>
      <w:pPr>
        <w:spacing w:after="0" w:line="148" w:lineRule="exact"/>
        <w:rPr>
          <w:sz w:val="20"/>
          <w:szCs w:val="20"/>
          <w:color w:val="auto"/>
        </w:rPr>
      </w:pPr>
    </w:p>
    <w:p>
      <w:pPr>
        <w:jc w:val="both"/>
        <w:ind w:firstLine="1952"/>
        <w:spacing w:after="0" w:line="220" w:lineRule="auto"/>
        <w:tabs>
          <w:tab w:leader="none" w:pos="258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Unvested Common Shares Issued in Settlement of Performance Share Awards. </w:t>
      </w:r>
      <w:r>
        <w:rPr>
          <w:rFonts w:ascii="Arial" w:cs="Arial" w:eastAsia="Arial" w:hAnsi="Arial"/>
          <w:sz w:val="22"/>
          <w:szCs w:val="22"/>
          <w:color w:val="auto"/>
        </w:rPr>
        <w:t>If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terminates employment pursuant to Sections 6(b), 6(d) or 6(e)(i) after the Performance Share Vesting Date, all Unvested Common Shares (as defined in the Performance Share Agreement) issued in settlement of the Performance Share Award shall become vested in full effective as of the date of such termination.</w:t>
      </w:r>
    </w:p>
    <w:p>
      <w:pPr>
        <w:spacing w:after="0" w:line="152" w:lineRule="exact"/>
        <w:rPr>
          <w:rFonts w:ascii="Arial" w:cs="Arial" w:eastAsia="Arial" w:hAnsi="Arial"/>
          <w:sz w:val="22"/>
          <w:szCs w:val="22"/>
          <w:color w:val="auto"/>
        </w:rPr>
      </w:pPr>
    </w:p>
    <w:p>
      <w:pPr>
        <w:jc w:val="both"/>
        <w:ind w:firstLine="1952"/>
        <w:spacing w:after="0" w:line="242" w:lineRule="auto"/>
        <w:tabs>
          <w:tab w:leader="none" w:pos="2613" w:val="left"/>
        </w:tabs>
        <w:numPr>
          <w:ilvl w:val="0"/>
          <w:numId w:val="25"/>
        </w:numPr>
        <w:rPr>
          <w:rFonts w:ascii="Arial" w:cs="Arial" w:eastAsia="Arial" w:hAnsi="Arial"/>
          <w:sz w:val="19"/>
          <w:szCs w:val="19"/>
          <w:color w:val="auto"/>
        </w:rPr>
      </w:pPr>
      <w:r>
        <w:rPr>
          <w:rFonts w:ascii="Arial" w:cs="Arial" w:eastAsia="Arial" w:hAnsi="Arial"/>
          <w:sz w:val="19"/>
          <w:szCs w:val="19"/>
          <w:b w:val="1"/>
          <w:bCs w:val="1"/>
          <w:color w:val="auto"/>
        </w:rPr>
        <w:t xml:space="preserve">Health Care Coverage. </w:t>
      </w:r>
      <w:r>
        <w:rPr>
          <w:rFonts w:ascii="Arial" w:cs="Arial" w:eastAsia="Arial" w:hAnsi="Arial"/>
          <w:sz w:val="19"/>
          <w:szCs w:val="19"/>
          <w:color w:val="auto"/>
        </w:rPr>
        <w:t>The Company shall continue to provide Executive with medical, dental,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vision and mental health care coverage at or equivalent to the level of coverage that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 will end when dependent is no longer eligible for coverage, if earlier than the Term of Employment end date, </w:t>
      </w:r>
      <w:r>
        <w:rPr>
          <w:rFonts w:ascii="Arial" w:cs="Arial" w:eastAsia="Arial" w:hAnsi="Arial"/>
          <w:sz w:val="19"/>
          <w:szCs w:val="19"/>
          <w:b w:val="1"/>
          <w:bCs w:val="1"/>
          <w:u w:val="single" w:color="auto"/>
          <w:color w:val="auto"/>
        </w:rPr>
        <w:t>provided, however</w:t>
      </w:r>
      <w:r>
        <w:rPr>
          <w:rFonts w:ascii="Arial" w:cs="Arial" w:eastAsia="Arial" w:hAnsi="Arial"/>
          <w:sz w:val="19"/>
          <w:szCs w:val="19"/>
          <w:b w:val="1"/>
          <w:bCs w:val="1"/>
          <w:color w:val="auto"/>
        </w:rPr>
        <w:t xml:space="preserve"> </w:t>
      </w:r>
      <w:r>
        <w:rPr>
          <w:rFonts w:ascii="Arial" w:cs="Arial" w:eastAsia="Arial" w:hAnsi="Arial"/>
          <w:sz w:val="19"/>
          <w:szCs w:val="19"/>
          <w:color w:val="auto"/>
        </w:rPr>
        <w:t>that in the event such coverage may no longer be extended to Executive following termination of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employment either by the terms of the Company’s health care plans or under then applicable law, the Company shall instead reimburse Executive for Executive’s cost of substantially equivalent health care coverage available to Executive under ERISA Section 601 and thereafter and Section 4980B of the Internal Revenue Code (i.e., COBRA coverage) for a period not to exceed the lesser of (A) 18 months after the termination of Executive’s employment or (B) the remainder of the Term of Employment, and </w:t>
      </w:r>
      <w:r>
        <w:rPr>
          <w:rFonts w:ascii="Arial" w:cs="Arial" w:eastAsia="Arial" w:hAnsi="Arial"/>
          <w:sz w:val="19"/>
          <w:szCs w:val="19"/>
          <w:b w:val="1"/>
          <w:bCs w:val="1"/>
          <w:u w:val="single" w:color="auto"/>
          <w:color w:val="auto"/>
        </w:rPr>
        <w:t>provided further</w:t>
      </w:r>
      <w:r>
        <w:rPr>
          <w:rFonts w:ascii="Arial" w:cs="Arial" w:eastAsia="Arial" w:hAnsi="Arial"/>
          <w:sz w:val="19"/>
          <w:szCs w:val="19"/>
          <w:color w:val="auto"/>
        </w:rPr>
        <w:t xml:space="preserve"> that (1) any such health care coverage or reimbursement for health care coverage shall cease at such time that Executive becomes eligible for health care coverage through another employer and (2) any such reimbursement shall be made no later than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the Executive received in error.</w:t>
      </w:r>
    </w:p>
    <w:p>
      <w:pPr>
        <w:spacing w:after="0" w:line="15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The Company shall have no further obligations to the Executive as a result of termination of employment described in this Section 8(a) except as set forth in Section 13.</w:t>
      </w:r>
    </w:p>
    <w:p>
      <w:pPr>
        <w:spacing w:after="0" w:line="153" w:lineRule="exact"/>
        <w:rPr>
          <w:sz w:val="20"/>
          <w:szCs w:val="20"/>
          <w:color w:val="auto"/>
        </w:rPr>
      </w:pPr>
    </w:p>
    <w:p>
      <w:pPr>
        <w:jc w:val="both"/>
        <w:ind w:firstLine="1304"/>
        <w:spacing w:after="0" w:line="246" w:lineRule="auto"/>
        <w:tabs>
          <w:tab w:leader="none" w:pos="1939" w:val="left"/>
        </w:tabs>
        <w:numPr>
          <w:ilvl w:val="0"/>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Termination for Cause or Voluntary Termination. </w:t>
      </w:r>
      <w:r>
        <w:rPr>
          <w:rFonts w:ascii="Arial" w:cs="Arial" w:eastAsia="Arial" w:hAnsi="Arial"/>
          <w:sz w:val="19"/>
          <w:szCs w:val="19"/>
          <w:color w:val="auto"/>
        </w:rPr>
        <w:t>If the Executive’s employment terminates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6(c) [For Cause] or Section 6(f) [Voluntary Termination], the Executive shall be entitled to receive only the salary, annual bonuses, expense reimbursements, benefits, and accrued vacation days earned by the Executive pursuant to Section 4 through the date of the Executive’s termination of employment. Annual bonuses are not earned until the date any such bonus is paid in accordance with the terms of the applicable bonus plan. As such, the Executive shall not be entitled to any bonus not paid prior to the date of the Executive’s termination of employment, and the Executive shall not be entitled to any prorated bonus payment for the year in which the Executive’s employment terminates. Any stock options granted to the Executive by the Company shall continue to vest only through the date on which the Executive’s employment terminates, and unless otherwise provided by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36" w:name="page37"/>
    <w:bookmarkEnd w:id="36"/>
    <w:p>
      <w:pPr>
        <w:jc w:val="both"/>
        <w:spacing w:after="0" w:line="257" w:lineRule="auto"/>
        <w:rPr>
          <w:sz w:val="20"/>
          <w:szCs w:val="20"/>
          <w:color w:val="auto"/>
        </w:rPr>
      </w:pPr>
      <w:r>
        <w:rPr>
          <w:rFonts w:ascii="Arial" w:cs="Arial" w:eastAsia="Arial" w:hAnsi="Arial"/>
          <w:sz w:val="19"/>
          <w:szCs w:val="19"/>
          <w:color w:val="auto"/>
        </w:rPr>
        <w:t>terms, any restricted stock, performance share awards, or other equity awards that were granted to the Executive by the Company that remain unvested as of the date on which the Executive’s employment terminates shall automatically be forfeited and the Executive shall have no further rights with respect to such awards. The Company shall have no further obligations to the Executive as a result of termination of employment described in this Section 8(b) except as set forth in Section 13.</w:t>
      </w:r>
    </w:p>
    <w:p>
      <w:pPr>
        <w:spacing w:after="0" w:line="138" w:lineRule="exact"/>
        <w:rPr>
          <w:sz w:val="20"/>
          <w:szCs w:val="20"/>
          <w:color w:val="auto"/>
        </w:rPr>
      </w:pPr>
    </w:p>
    <w:p>
      <w:pPr>
        <w:jc w:val="both"/>
        <w:ind w:firstLine="1304"/>
        <w:spacing w:after="0" w:line="242" w:lineRule="auto"/>
        <w:tabs>
          <w:tab w:leader="none" w:pos="1941" w:val="left"/>
        </w:tabs>
        <w:numPr>
          <w:ilvl w:val="0"/>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Death. </w:t>
      </w:r>
      <w:r>
        <w:rPr>
          <w:rFonts w:ascii="Arial" w:cs="Arial" w:eastAsia="Arial" w:hAnsi="Arial"/>
          <w:sz w:val="19"/>
          <w:szCs w:val="19"/>
          <w:color w:val="auto"/>
        </w:rPr>
        <w:t>If the Executive’s employment terminates pursuant to Section 6(a) [Death], (i)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designated beneficiary or the Executive’s estate shall be entitled to receive only the salary, any unpaid annual bonus for the fiscal year of the Company occurring immediately prior to the fiscal year in which the Executive’s death occurred, expense reimbursements, benefits, and accrued vacation earned by the Executive pursuant to Section 4 through the date of the Executive’s death; (ii) at the time payable under the applicable Company bonus plan, an annual bonus shall be paid to the Executive’s designated beneficiary or the Executive’s estate for the fiscal year of the Executive’s death based on the annual bonus that the Executive would have earned under the Company’s bonus plan for such fiscal year had the Executive not died, contingent on the relevant annual bonus plan performance goals for said year having been obtained, capped at 100% of the Executive’s target bonus for such fiscal year and pro-rated for the number of days the Executive is employed during such fiscal year until the Executive’s death; (iii) any shares of restricted stock granted to the Executive by the Company at least 12 months prior to the Executive’s date of death that are unvested as of such date shall immediately become fully vested and any shares of restricted stock granted to the Executive by the Company within the 12-month period ending on the Executive’s date of death that are unvested as of such date shall automatically be forfeited and the Executive shall have no further rights with respect to such restricted stock; and (iv) the Company shall waive any reacquisition or repayment rights for dividends paid on restricted stock prior to the Executive’s death.</w:t>
      </w:r>
    </w:p>
    <w:p>
      <w:pPr>
        <w:spacing w:after="0" w:line="155" w:lineRule="exact"/>
        <w:rPr>
          <w:rFonts w:ascii="Arial" w:cs="Arial" w:eastAsia="Arial" w:hAnsi="Arial"/>
          <w:sz w:val="19"/>
          <w:szCs w:val="19"/>
          <w:color w:val="auto"/>
        </w:rPr>
      </w:pPr>
    </w:p>
    <w:p>
      <w:pPr>
        <w:jc w:val="both"/>
        <w:ind w:firstLine="1952"/>
        <w:spacing w:after="0" w:line="245" w:lineRule="auto"/>
        <w:tabs>
          <w:tab w:leader="none" w:pos="2580" w:val="left"/>
        </w:tabs>
        <w:numPr>
          <w:ilvl w:val="1"/>
          <w:numId w:val="27"/>
        </w:numPr>
        <w:rPr>
          <w:rFonts w:ascii="Arial" w:cs="Arial" w:eastAsia="Arial" w:hAnsi="Arial"/>
          <w:sz w:val="19"/>
          <w:szCs w:val="19"/>
          <w:color w:val="auto"/>
        </w:rPr>
      </w:pPr>
      <w:r>
        <w:rPr>
          <w:rFonts w:ascii="Arial" w:cs="Arial" w:eastAsia="Arial" w:hAnsi="Arial"/>
          <w:sz w:val="19"/>
          <w:szCs w:val="19"/>
          <w:b w:val="1"/>
          <w:bCs w:val="1"/>
          <w:color w:val="auto"/>
        </w:rPr>
        <w:t xml:space="preserve">Performance Share Awards. </w:t>
      </w:r>
      <w:r>
        <w:rPr>
          <w:rFonts w:ascii="Arial" w:cs="Arial" w:eastAsia="Arial" w:hAnsi="Arial"/>
          <w:sz w:val="19"/>
          <w:szCs w:val="19"/>
          <w:color w:val="auto"/>
        </w:rPr>
        <w:t>On the Performance Share Vesting Date next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date of death, the number of Performance Shares that shall become Vested Performance Shares shall be determined by multiplying (a) that number of shares of Company Common Stock subject to the Performance Share Agreement that would have become Vested Performance Shares had no such termination occurred; provided, however, in no case shall the number of Performance Shares that become Vested Performance Shares prior to proration exceed 100% of the Target Number of Performance Shares set forth in the Performance Share Agreement, by (b) the ratio of the number of full months of the Executive's employment with the Company during the Performance Period (as defined in the Performance Share Agreement) to the number of full months contained in the Performance Period. Vested Common Shares shall be issued in settlement of such Vested Performance Shares on the Settlement Date next following the Executive’s date of death.</w:t>
      </w:r>
    </w:p>
    <w:p>
      <w:pPr>
        <w:spacing w:after="0" w:line="152" w:lineRule="exact"/>
        <w:rPr>
          <w:rFonts w:ascii="Arial" w:cs="Arial" w:eastAsia="Arial" w:hAnsi="Arial"/>
          <w:sz w:val="19"/>
          <w:szCs w:val="19"/>
          <w:color w:val="auto"/>
        </w:rPr>
      </w:pPr>
    </w:p>
    <w:p>
      <w:pPr>
        <w:jc w:val="both"/>
        <w:ind w:firstLine="1952"/>
        <w:spacing w:after="0" w:line="225" w:lineRule="auto"/>
        <w:tabs>
          <w:tab w:leader="none" w:pos="2586" w:val="left"/>
        </w:tabs>
        <w:numPr>
          <w:ilvl w:val="1"/>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Unvested Common Shares Issued in Settlement of Performance Share Awards. </w:t>
      </w:r>
      <w:r>
        <w:rPr>
          <w:rFonts w:ascii="Arial" w:cs="Arial" w:eastAsia="Arial" w:hAnsi="Arial"/>
          <w:sz w:val="22"/>
          <w:szCs w:val="22"/>
          <w:color w:val="auto"/>
        </w:rPr>
        <w:t>If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dies after the Performance Share Vesting Date, all Unvested Common Shares issued in settlement of the Performance Share Award shall become vested in full effective as of the date of such termination.</w:t>
      </w:r>
    </w:p>
    <w:p>
      <w:pPr>
        <w:spacing w:after="0" w:line="152" w:lineRule="exact"/>
        <w:rPr>
          <w:rFonts w:ascii="Arial" w:cs="Arial" w:eastAsia="Arial" w:hAnsi="Arial"/>
          <w:sz w:val="22"/>
          <w:szCs w:val="22"/>
          <w:color w:val="auto"/>
        </w:rPr>
      </w:pPr>
    </w:p>
    <w:p>
      <w:pPr>
        <w:ind w:left="1940" w:hanging="636"/>
        <w:spacing w:after="0"/>
        <w:tabs>
          <w:tab w:leader="none" w:pos="194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Special Change in Control Provisions.</w:t>
      </w:r>
    </w:p>
    <w:p>
      <w:pPr>
        <w:spacing w:after="0" w:line="179" w:lineRule="exact"/>
        <w:rPr>
          <w:rFonts w:ascii="Arial" w:cs="Arial" w:eastAsia="Arial" w:hAnsi="Arial"/>
          <w:sz w:val="22"/>
          <w:szCs w:val="22"/>
          <w:color w:val="auto"/>
        </w:rPr>
      </w:pPr>
    </w:p>
    <w:p>
      <w:pPr>
        <w:jc w:val="both"/>
        <w:ind w:firstLine="1952"/>
        <w:spacing w:after="0" w:line="230" w:lineRule="auto"/>
        <w:tabs>
          <w:tab w:leader="none" w:pos="2580" w:val="left"/>
        </w:tabs>
        <w:numPr>
          <w:ilvl w:val="1"/>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Termination of Employment in Connection with a Change in Control. </w:t>
      </w:r>
      <w:r>
        <w:rPr>
          <w:rFonts w:ascii="Arial" w:cs="Arial" w:eastAsia="Arial" w:hAnsi="Arial"/>
          <w:sz w:val="21"/>
          <w:szCs w:val="21"/>
          <w:color w:val="auto"/>
        </w:rPr>
        <w:t>If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is terminated either by the Company Without Cause (as defined in Section 6(d)) or by the Executive for Good Reason (as defined in Section 6(e)(ii)), in either case within the period commencing one month prior to and ending twelve months following a Change in Control, then, subject to Section 22 [Compliance with Section 409A],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37" w:name="page38"/>
    <w:bookmarkEnd w:id="37"/>
    <w:p>
      <w:pPr>
        <w:jc w:val="both"/>
        <w:spacing w:after="0" w:line="218" w:lineRule="auto"/>
        <w:rPr>
          <w:sz w:val="20"/>
          <w:szCs w:val="20"/>
          <w:color w:val="auto"/>
        </w:rPr>
      </w:pPr>
      <w:r>
        <w:rPr>
          <w:rFonts w:ascii="Arial" w:cs="Arial" w:eastAsia="Arial" w:hAnsi="Arial"/>
          <w:sz w:val="22"/>
          <w:szCs w:val="22"/>
          <w:color w:val="auto"/>
        </w:rPr>
        <w:t>Executive shall be entitled to the compensation and benefits set forth in Sections 8(d)(i)(a) through (e) (in addition to any other payments or benefits provided under this Agreement), provided that within sixty days following the Executive’s termination of employment (i) the Executive has executed and delivered the Release to the Company, and (ii) the Release has become irrevocable:</w:t>
      </w:r>
    </w:p>
    <w:p>
      <w:pPr>
        <w:spacing w:after="0" w:line="155" w:lineRule="exact"/>
        <w:rPr>
          <w:sz w:val="20"/>
          <w:szCs w:val="20"/>
          <w:color w:val="auto"/>
        </w:rPr>
      </w:pPr>
    </w:p>
    <w:p>
      <w:pPr>
        <w:jc w:val="both"/>
        <w:ind w:firstLine="3248"/>
        <w:spacing w:after="0" w:line="217" w:lineRule="auto"/>
        <w:tabs>
          <w:tab w:leader="none" w:pos="3876"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Salary. </w:t>
      </w:r>
      <w:r>
        <w:rPr>
          <w:rFonts w:ascii="Arial" w:cs="Arial" w:eastAsia="Arial" w:hAnsi="Arial"/>
          <w:sz w:val="22"/>
          <w:szCs w:val="22"/>
          <w:color w:val="auto"/>
        </w:rPr>
        <w:t>The Executive shall be entitled to a cash payment equal to 2.99 times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then-current annual base salary, which shall be paid to the Executive sixty days following such termination of employment. The payment under this Section 8(d)(i)(a) shall take the place of any payment under Section 8(a)(i) and the Executive shall not be entitled to receive a payment under Section 8(a)(i) if the Executive is entitled to a payment under this Section 8(d)(i)(a).</w:t>
      </w:r>
    </w:p>
    <w:p>
      <w:pPr>
        <w:spacing w:after="0" w:line="152" w:lineRule="exact"/>
        <w:rPr>
          <w:rFonts w:ascii="Arial" w:cs="Arial" w:eastAsia="Arial" w:hAnsi="Arial"/>
          <w:sz w:val="22"/>
          <w:szCs w:val="22"/>
          <w:color w:val="auto"/>
        </w:rPr>
      </w:pPr>
    </w:p>
    <w:p>
      <w:pPr>
        <w:jc w:val="both"/>
        <w:ind w:firstLine="3248"/>
        <w:spacing w:after="0" w:line="227" w:lineRule="auto"/>
        <w:tabs>
          <w:tab w:leader="none" w:pos="3888"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 xml:space="preserve">Bonus. </w:t>
      </w:r>
      <w:r>
        <w:rPr>
          <w:rFonts w:ascii="Arial" w:cs="Arial" w:eastAsia="Arial" w:hAnsi="Arial"/>
          <w:sz w:val="21"/>
          <w:szCs w:val="21"/>
          <w:color w:val="auto"/>
        </w:rPr>
        <w:t>The Executive shall be entitled to a cash payment equal to 2.99 times the</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target annual bonus for the Company’s fiscal year then in effect on the date termination of employment occurs, which shall be paid to the Executive sixty days following such termination of employment. The payment under this Section 8(d)(i)(b) shall take the place of any payment under Section 8(a)(ii) and the Executive shall not be entitled to receive a payment under Section 8(a)(ii) if the Executive is entitled to a payment under this Section 8(d)(i)(b).</w:t>
      </w:r>
    </w:p>
    <w:p>
      <w:pPr>
        <w:spacing w:after="0" w:line="153" w:lineRule="exact"/>
        <w:rPr>
          <w:rFonts w:ascii="Arial" w:cs="Arial" w:eastAsia="Arial" w:hAnsi="Arial"/>
          <w:sz w:val="21"/>
          <w:szCs w:val="21"/>
          <w:color w:val="auto"/>
        </w:rPr>
      </w:pPr>
    </w:p>
    <w:p>
      <w:pPr>
        <w:jc w:val="both"/>
        <w:ind w:firstLine="3248"/>
        <w:spacing w:after="0" w:line="248" w:lineRule="auto"/>
        <w:tabs>
          <w:tab w:leader="none" w:pos="3876"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Equity. </w:t>
      </w:r>
      <w:r>
        <w:rPr>
          <w:rFonts w:ascii="Arial" w:cs="Arial" w:eastAsia="Arial" w:hAnsi="Arial"/>
          <w:sz w:val="19"/>
          <w:szCs w:val="19"/>
          <w:color w:val="auto"/>
        </w:rPr>
        <w:t>All shares of restricted stock granted to the Executive by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become vested in full upon the termination. Additionally, if the termination occurs prior to the Performance Share Vesting Date, 100% of the Target Number of Performance Shares shall be deemed Vested Performance Shares effective as of the date of the termination. All Unvested Common Shares issued in settlement of the Performance Share Award shall become vested effective as of the date of such termination. Except as set forth in this Section 8(d), the treatment of stock options, performance share awards and all other equity awards granted to the Executive by the Company that remain outstanding immediately prior to the date of such Change in Control shall be determined in accordance with their terms.</w:t>
      </w:r>
    </w:p>
    <w:p>
      <w:pPr>
        <w:spacing w:after="0" w:line="147" w:lineRule="exact"/>
        <w:rPr>
          <w:rFonts w:ascii="Arial" w:cs="Arial" w:eastAsia="Arial" w:hAnsi="Arial"/>
          <w:sz w:val="19"/>
          <w:szCs w:val="19"/>
          <w:color w:val="auto"/>
        </w:rPr>
      </w:pPr>
    </w:p>
    <w:p>
      <w:pPr>
        <w:jc w:val="both"/>
        <w:ind w:firstLine="3248"/>
        <w:spacing w:after="0" w:line="220" w:lineRule="auto"/>
        <w:tabs>
          <w:tab w:leader="none" w:pos="3888"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Estate Planning. </w:t>
      </w:r>
      <w:r>
        <w:rPr>
          <w:rFonts w:ascii="Arial" w:cs="Arial" w:eastAsia="Arial" w:hAnsi="Arial"/>
          <w:sz w:val="22"/>
          <w:szCs w:val="22"/>
          <w:color w:val="auto"/>
        </w:rPr>
        <w:t>The Executive shall be entitled to reimbursement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estate planning expenses (including attorneys’ fees) on the same basis, if any, as to which the Executive was entitled to such reimbursements immediately prior to such termination of employment for the remainder of the Term of Employment then in effect.</w:t>
      </w:r>
    </w:p>
    <w:p>
      <w:pPr>
        <w:spacing w:after="0" w:line="152" w:lineRule="exact"/>
        <w:rPr>
          <w:rFonts w:ascii="Arial" w:cs="Arial" w:eastAsia="Arial" w:hAnsi="Arial"/>
          <w:sz w:val="22"/>
          <w:szCs w:val="22"/>
          <w:color w:val="auto"/>
        </w:rPr>
      </w:pPr>
    </w:p>
    <w:p>
      <w:pPr>
        <w:jc w:val="both"/>
        <w:ind w:firstLine="3248"/>
        <w:spacing w:after="0" w:line="244" w:lineRule="auto"/>
        <w:tabs>
          <w:tab w:leader="none" w:pos="3876"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Health Care Coverage. </w:t>
      </w:r>
      <w:r>
        <w:rPr>
          <w:rFonts w:ascii="Arial" w:cs="Arial" w:eastAsia="Arial" w:hAnsi="Arial"/>
          <w:sz w:val="19"/>
          <w:szCs w:val="19"/>
          <w:color w:val="auto"/>
        </w:rPr>
        <w:t>The Company shall continue to provide Executive with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medical, dental, vision, and mental health care coverage at or equivalent to the level of coverage which the Executive had at the time of the termination of employment (including coverage for the Executive’s eligible dependents to the extent such dependents were covered immediately prior to such termination of employment) for the remainder of the Term of Employment, except coverage for dependents will end when dependent is no longer eligible for coverage, if earlier than the Term of Employment end date; </w:t>
      </w:r>
      <w:r>
        <w:rPr>
          <w:rFonts w:ascii="Arial" w:cs="Arial" w:eastAsia="Arial" w:hAnsi="Arial"/>
          <w:sz w:val="19"/>
          <w:szCs w:val="19"/>
          <w:b w:val="1"/>
          <w:bCs w:val="1"/>
          <w:u w:val="single" w:color="auto"/>
          <w:color w:val="auto"/>
        </w:rPr>
        <w:t>provided, however</w:t>
      </w:r>
      <w:r>
        <w:rPr>
          <w:rFonts w:ascii="Arial" w:cs="Arial" w:eastAsia="Arial" w:hAnsi="Arial"/>
          <w:sz w:val="19"/>
          <w:szCs w:val="19"/>
          <w:color w:val="auto"/>
        </w:rPr>
        <w:t xml:space="preserve"> that in the event such coverage may no longer be extended to Executive following termination of Executive’s employment either by the terms of the Company’s health care plans or under then applicable law, the Company shall instead reimburse Executive for Executive’s cost of substantially equivalent health care coverage available to Executive under ERISA Section 601 and thereafter and Section 4980B of the Internal Revenue Code (i.e., COBRA coverage) for a period not to exceed 18 months after the termination of Executive’s employment; and </w:t>
      </w:r>
      <w:r>
        <w:rPr>
          <w:rFonts w:ascii="Arial" w:cs="Arial" w:eastAsia="Arial" w:hAnsi="Arial"/>
          <w:sz w:val="19"/>
          <w:szCs w:val="19"/>
          <w:b w:val="1"/>
          <w:bCs w:val="1"/>
          <w:u w:val="single" w:color="auto"/>
          <w:color w:val="auto"/>
        </w:rPr>
        <w:t>provided further</w:t>
      </w:r>
      <w:r>
        <w:rPr>
          <w:rFonts w:ascii="Arial" w:cs="Arial" w:eastAsia="Arial" w:hAnsi="Arial"/>
          <w:sz w:val="19"/>
          <w:szCs w:val="19"/>
          <w:color w:val="auto"/>
        </w:rPr>
        <w:t xml:space="preserve"> that (1) any such health care coverage or reimbursement for health care coverage shall cease at such time that Executive becomes eligible for health care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38" w:name="page39"/>
    <w:bookmarkEnd w:id="38"/>
    <w:p>
      <w:pPr>
        <w:jc w:val="both"/>
        <w:spacing w:after="0" w:line="218" w:lineRule="auto"/>
        <w:rPr>
          <w:sz w:val="20"/>
          <w:szCs w:val="20"/>
          <w:color w:val="auto"/>
        </w:rPr>
      </w:pPr>
      <w:r>
        <w:rPr>
          <w:rFonts w:ascii="Arial" w:cs="Arial" w:eastAsia="Arial" w:hAnsi="Arial"/>
          <w:sz w:val="22"/>
          <w:szCs w:val="22"/>
          <w:color w:val="auto"/>
        </w:rPr>
        <w:t>through another employer and (2) any such reimbursement shall be made by the last day of the calendar year following the end of the calendar year with respect to which such coverage or reimbursement is provided. The Executive must notify the Company within five business days of becoming eligible for such other coverage and promptly repay the Company any benefits he Executive received in error.</w:t>
      </w:r>
    </w:p>
    <w:p>
      <w:pPr>
        <w:spacing w:after="0" w:line="155" w:lineRule="exact"/>
        <w:rPr>
          <w:sz w:val="20"/>
          <w:szCs w:val="20"/>
          <w:color w:val="auto"/>
        </w:rPr>
      </w:pPr>
    </w:p>
    <w:p>
      <w:pPr>
        <w:ind w:firstLine="1952"/>
        <w:spacing w:after="0" w:line="235" w:lineRule="auto"/>
        <w:tabs>
          <w:tab w:leader="none" w:pos="2586" w:val="left"/>
        </w:tabs>
        <w:numPr>
          <w:ilvl w:val="1"/>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Change in Control Defined. </w:t>
      </w:r>
      <w:r>
        <w:rPr>
          <w:rFonts w:ascii="Arial" w:cs="Arial" w:eastAsia="Arial" w:hAnsi="Arial"/>
          <w:sz w:val="22"/>
          <w:szCs w:val="22"/>
          <w:color w:val="auto"/>
        </w:rPr>
        <w:t>“</w:t>
      </w:r>
      <w:r>
        <w:rPr>
          <w:rFonts w:ascii="Arial" w:cs="Arial" w:eastAsia="Arial" w:hAnsi="Arial"/>
          <w:sz w:val="22"/>
          <w:szCs w:val="22"/>
          <w:u w:val="single" w:color="auto"/>
          <w:color w:val="auto"/>
        </w:rPr>
        <w:t>Change in Control</w:t>
      </w:r>
      <w:r>
        <w:rPr>
          <w:rFonts w:ascii="Arial" w:cs="Arial" w:eastAsia="Arial" w:hAnsi="Arial"/>
          <w:sz w:val="22"/>
          <w:szCs w:val="22"/>
          <w:color w:val="auto"/>
        </w:rPr>
        <w:t>” means the occurrence of any one or more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with respect to the Company:</w:t>
      </w:r>
    </w:p>
    <w:p>
      <w:pPr>
        <w:spacing w:after="0" w:line="158" w:lineRule="exact"/>
        <w:rPr>
          <w:rFonts w:ascii="Arial" w:cs="Arial" w:eastAsia="Arial" w:hAnsi="Arial"/>
          <w:sz w:val="22"/>
          <w:szCs w:val="22"/>
          <w:color w:val="auto"/>
        </w:rPr>
      </w:pPr>
    </w:p>
    <w:p>
      <w:pPr>
        <w:jc w:val="both"/>
        <w:ind w:firstLine="2600"/>
        <w:spacing w:after="0" w:line="242" w:lineRule="auto"/>
        <w:tabs>
          <w:tab w:leader="none" w:pos="3235" w:val="left"/>
        </w:tabs>
        <w:numPr>
          <w:ilvl w:val="2"/>
          <w:numId w:val="29"/>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Securities Exchange Act of 1934, as amended (“</w:t>
      </w:r>
      <w:r>
        <w:rPr>
          <w:rFonts w:ascii="Arial" w:cs="Arial" w:eastAsia="Arial" w:hAnsi="Arial"/>
          <w:sz w:val="19"/>
          <w:szCs w:val="19"/>
          <w:u w:val="single" w:color="auto"/>
          <w:color w:val="auto"/>
        </w:rPr>
        <w:t>Exchange Act</w:t>
      </w:r>
      <w:r>
        <w:rPr>
          <w:rFonts w:ascii="Arial" w:cs="Arial" w:eastAsia="Arial" w:hAnsi="Arial"/>
          <w:sz w:val="19"/>
          <w:szCs w:val="19"/>
          <w:color w:val="auto"/>
        </w:rPr>
        <w:t>”)) acquires during a twelve-month period ending on the date of the most recent acquisition by such person, in one or a series of transactions, “beneficial ownership” (as such term is defined in Rule 13d-3 under the Exchange Act), directly or indirectly, of securities of the Company representing thirty-five percent (35%) or more of the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of the then current Equity Incentive Plan, is the beneficial owner of thirty-five percent (35%) or more of such voting power; (B) any acquisition directly from the Company, including, without limitation, pursuant to or in connection with a public offering of securities; (C) any acquisition by the Company; (D) any acquisition by a trustee or other fiduciary under an employee benefit plan of the Company; or (E) any acquisition by an entity owned directly or indirectly by the stockholders of the Company in substantially the same proportions as their ownership of the voting securities of the Company; or</w:t>
      </w:r>
    </w:p>
    <w:p>
      <w:pPr>
        <w:spacing w:after="0" w:line="384" w:lineRule="exact"/>
        <w:rPr>
          <w:rFonts w:ascii="Arial" w:cs="Arial" w:eastAsia="Arial" w:hAnsi="Arial"/>
          <w:sz w:val="19"/>
          <w:szCs w:val="19"/>
          <w:color w:val="auto"/>
        </w:rPr>
      </w:pPr>
    </w:p>
    <w:p>
      <w:pPr>
        <w:jc w:val="both"/>
        <w:ind w:firstLine="2600"/>
        <w:spacing w:after="0" w:line="242" w:lineRule="auto"/>
        <w:tabs>
          <w:tab w:leader="none" w:pos="3235" w:val="left"/>
        </w:tabs>
        <w:numPr>
          <w:ilvl w:val="2"/>
          <w:numId w:val="29"/>
        </w:numPr>
        <w:rPr>
          <w:rFonts w:ascii="Arial" w:cs="Arial" w:eastAsia="Arial" w:hAnsi="Arial"/>
          <w:sz w:val="19"/>
          <w:szCs w:val="19"/>
          <w:color w:val="auto"/>
        </w:rPr>
      </w:pPr>
      <w:r>
        <w:rPr>
          <w:rFonts w:ascii="Arial" w:cs="Arial" w:eastAsia="Arial" w:hAnsi="Arial"/>
          <w:sz w:val="19"/>
          <w:szCs w:val="19"/>
          <w:color w:val="auto"/>
        </w:rPr>
        <w:t>any of the following events (“</w:t>
      </w:r>
      <w:r>
        <w:rPr>
          <w:rFonts w:ascii="Arial" w:cs="Arial" w:eastAsia="Arial" w:hAnsi="Arial"/>
          <w:sz w:val="19"/>
          <w:szCs w:val="19"/>
          <w:u w:val="single" w:color="auto"/>
          <w:color w:val="auto"/>
        </w:rPr>
        <w:t>Ownership Change Event</w:t>
      </w:r>
      <w:r>
        <w:rPr>
          <w:rFonts w:ascii="Arial" w:cs="Arial" w:eastAsia="Arial" w:hAnsi="Arial"/>
          <w:sz w:val="19"/>
          <w:szCs w:val="19"/>
          <w:color w:val="auto"/>
        </w:rPr>
        <w:t>”) or series of related Ownership Change Events (collectively, a “</w:t>
      </w:r>
      <w:r>
        <w:rPr>
          <w:rFonts w:ascii="Arial" w:cs="Arial" w:eastAsia="Arial" w:hAnsi="Arial"/>
          <w:sz w:val="19"/>
          <w:szCs w:val="19"/>
          <w:u w:val="single" w:color="auto"/>
          <w:color w:val="auto"/>
        </w:rPr>
        <w:t>Transaction</w:t>
      </w:r>
      <w:r>
        <w:rPr>
          <w:rFonts w:ascii="Arial" w:cs="Arial" w:eastAsia="Arial" w:hAnsi="Arial"/>
          <w:sz w:val="19"/>
          <w:szCs w:val="19"/>
          <w:color w:val="auto"/>
        </w:rPr>
        <w:t>”): (A) the direct or indirect sale or exchange in a single or series of related transactions by the stockholders of the Company of securities of the Company representing more than fifty percent (50%) of the combined voting power of the Company’s then outstanding securities then entitled to vote generally in the election of directors;</w:t>
      </w:r>
    </w:p>
    <w:p>
      <w:pPr>
        <w:jc w:val="both"/>
        <w:ind w:firstLine="8"/>
        <w:spacing w:after="0" w:line="210" w:lineRule="auto"/>
        <w:tabs>
          <w:tab w:leader="none" w:pos="349"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merger or consolidation in which the Company is a party; or (C) the sale, exchange, or transfer of all or substantially all of the assets of the Company (other than a sale, exchange, or transfer to one or more subsidiaries of the Company), provided that with respect to any such Transaction the stockholders of the Company immediately before the Transaction do not retain immediately after such Transaction direct or indirect beneficial ownership of more than fifty percent (50%) of the total combined voting power of the outstanding securities entitled to vote generally in the election of directors or, in the Ownership Change Event described in clause (C), the entity to which the assets of the Company were transferred (the “</w:t>
      </w:r>
      <w:r>
        <w:rPr>
          <w:rFonts w:ascii="Arial" w:cs="Arial" w:eastAsia="Arial" w:hAnsi="Arial"/>
          <w:sz w:val="22"/>
          <w:szCs w:val="22"/>
          <w:u w:val="single" w:color="auto"/>
          <w:color w:val="auto"/>
        </w:rPr>
        <w:t>Transferee</w:t>
      </w:r>
      <w:r>
        <w:rPr>
          <w:rFonts w:ascii="Arial" w:cs="Arial" w:eastAsia="Arial" w:hAnsi="Arial"/>
          <w:sz w:val="22"/>
          <w:szCs w:val="22"/>
          <w:color w:val="auto"/>
        </w:rPr>
        <w:t>”), as the case may be; or</w:t>
      </w:r>
    </w:p>
    <w:p>
      <w:pPr>
        <w:spacing w:after="0" w:line="160" w:lineRule="exact"/>
        <w:rPr>
          <w:rFonts w:ascii="Arial" w:cs="Arial" w:eastAsia="Arial" w:hAnsi="Arial"/>
          <w:sz w:val="22"/>
          <w:szCs w:val="22"/>
          <w:color w:val="auto"/>
        </w:rPr>
      </w:pPr>
    </w:p>
    <w:p>
      <w:pPr>
        <w:jc w:val="both"/>
        <w:ind w:firstLine="2600"/>
        <w:spacing w:after="0" w:line="222" w:lineRule="auto"/>
        <w:tabs>
          <w:tab w:leader="none" w:pos="3235" w:val="left"/>
        </w:tabs>
        <w:numPr>
          <w:ilvl w:val="2"/>
          <w:numId w:val="30"/>
        </w:numPr>
        <w:rPr>
          <w:rFonts w:ascii="Arial" w:cs="Arial" w:eastAsia="Arial" w:hAnsi="Arial"/>
          <w:sz w:val="21"/>
          <w:szCs w:val="21"/>
          <w:color w:val="auto"/>
        </w:rPr>
      </w:pPr>
      <w:r>
        <w:rPr>
          <w:rFonts w:ascii="Arial" w:cs="Arial" w:eastAsia="Arial" w:hAnsi="Arial"/>
          <w:sz w:val="21"/>
          <w:szCs w:val="21"/>
          <w:color w:val="auto"/>
        </w:rPr>
        <w:t>a date specified by the Compensation Committee of the Board following approval by the stockholders of a plan of complete liquidation or dissolution of the Company. 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indirectly or through one or more subsidiary corporations or other business entities. The Committee shall determine whether multiple events described in clauses (1), (2), or (3) are related and to be treated in the aggregate as a single Change in Control, and its determination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39" w:name="page40"/>
    <w:bookmarkEnd w:id="39"/>
    <w:p>
      <w:pPr>
        <w:jc w:val="both"/>
        <w:ind w:firstLine="1952"/>
        <w:spacing w:after="0" w:line="238" w:lineRule="auto"/>
        <w:tabs>
          <w:tab w:leader="none" w:pos="2592" w:val="left"/>
        </w:tabs>
        <w:numPr>
          <w:ilvl w:val="1"/>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Excise Tax - Best After-Tax Result. </w:t>
      </w:r>
      <w:r>
        <w:rPr>
          <w:rFonts w:ascii="Arial" w:cs="Arial" w:eastAsia="Arial" w:hAnsi="Arial"/>
          <w:sz w:val="19"/>
          <w:szCs w:val="19"/>
          <w:color w:val="auto"/>
        </w:rPr>
        <w:t>In the event that any payment or benefit received or to be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by Executive pursuant to this Agreement or otherwise (“</w:t>
      </w:r>
      <w:r>
        <w:rPr>
          <w:rFonts w:ascii="Arial" w:cs="Arial" w:eastAsia="Arial" w:hAnsi="Arial"/>
          <w:sz w:val="19"/>
          <w:szCs w:val="19"/>
          <w:u w:val="single" w:color="auto"/>
          <w:color w:val="auto"/>
        </w:rPr>
        <w:t>Payments</w:t>
      </w:r>
      <w:r>
        <w:rPr>
          <w:rFonts w:ascii="Arial" w:cs="Arial" w:eastAsia="Arial" w:hAnsi="Arial"/>
          <w:sz w:val="19"/>
          <w:szCs w:val="19"/>
          <w:color w:val="auto"/>
        </w:rPr>
        <w:t>”) would (a) constitute a “parachute payment” within the meaning of Section 280G of the Code and (b) but for this section, be subject to the excise tax imposed by Section 4999 of the Code, any successor provisions, or any comparable federal, state, local, or foreign excise tax (“</w:t>
      </w:r>
      <w:r>
        <w:rPr>
          <w:rFonts w:ascii="Arial" w:cs="Arial" w:eastAsia="Arial" w:hAnsi="Arial"/>
          <w:sz w:val="19"/>
          <w:szCs w:val="19"/>
          <w:u w:val="single" w:color="auto"/>
          <w:color w:val="auto"/>
        </w:rPr>
        <w:t>Excise Tax</w:t>
      </w:r>
      <w:r>
        <w:rPr>
          <w:rFonts w:ascii="Arial" w:cs="Arial" w:eastAsia="Arial" w:hAnsi="Arial"/>
          <w:sz w:val="19"/>
          <w:szCs w:val="19"/>
          <w:color w:val="auto"/>
        </w:rPr>
        <w:t>”), then, subject to the provisions of Section 8(d)(iv), such Payments shall be either (1) provided in full pursuant to the terms of this Agreement or any other applicable agreement, or (2) provided as to such lesser extent which would result in no portion of such Payments being subject to the Excise Tax (“</w:t>
      </w:r>
      <w:r>
        <w:rPr>
          <w:rFonts w:ascii="Arial" w:cs="Arial" w:eastAsia="Arial" w:hAnsi="Arial"/>
          <w:sz w:val="19"/>
          <w:szCs w:val="19"/>
          <w:u w:val="single" w:color="auto"/>
          <w:color w:val="auto"/>
        </w:rPr>
        <w:t>Reduced Amount</w:t>
      </w:r>
      <w:r>
        <w:rPr>
          <w:rFonts w:ascii="Arial" w:cs="Arial" w:eastAsia="Arial" w:hAnsi="Arial"/>
          <w:sz w:val="19"/>
          <w:szCs w:val="19"/>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If Executive’s payments or benefits are delivered to a lesser extent in accordance with this clause (2) above, then Executive’s aggregate benefits shall be reduced in the following order: (i) cash severance pay that is exempt from Section 409A; (ii) any other cash severance pay; (iii) reimbursement payments under Section 4(c), above; (iv) any restricted stock; (v) any equity awards other than restricted stock and stock options; and (vi) stock options. Unless the Company and Executive otherwise agree in writing, any determination required under this Section shall be made by an independent advisor designated by the Company and reasonably acceptable to Executive (“</w:t>
      </w:r>
      <w:r>
        <w:rPr>
          <w:rFonts w:ascii="Arial" w:cs="Arial" w:eastAsia="Arial" w:hAnsi="Arial"/>
          <w:sz w:val="19"/>
          <w:szCs w:val="19"/>
          <w:u w:val="single" w:color="auto"/>
          <w:color w:val="auto"/>
        </w:rPr>
        <w:t>Independent Advisor</w:t>
      </w:r>
      <w:r>
        <w:rPr>
          <w:rFonts w:ascii="Arial" w:cs="Arial" w:eastAsia="Arial" w:hAnsi="Arial"/>
          <w:sz w:val="19"/>
          <w:szCs w:val="19"/>
          <w:color w:val="auto"/>
        </w:rPr>
        <w:t>”), whose determination shall be conclusive and binding upon Executive and the Company for all purposes. For purposes of making the calculations required under this Section, Independent Advisor may make reasonable assumptions and approximations concerning applicable taxes and may rely on reasonable, good faith interpretations concerning the application of Sections 280G and 4999 of the Code; provided that Independent Advisor shall assume that Executive pays all taxes at the highest marginal rate. The Company and Executive shall furnish to Independent Advisor such information and documents as Independent Advisor may reasonably request in order to make a determination under this Section. The Company shall bear all costs that Independent Advisor may incur in connection with any calculations contemplated by this Section. In the event that this Section 8(d)(iii) applies, then based on the information provided to Executive and the Company by Independent Advisor, Executive may, in Executive’s sole discretion and within thirty days of the date on which Executive is provided with the information prepared by Independent Advisor, determine which and how much of the Payments (including the accelerated vesting of equity compensation awards) to be otherwise received by Executive shall be eliminated or reduced (as long as after such determination the value (as calculated by Independent Advisor in accordance with the provisions of Sections 280G and 4999 of the Code) of the amounts payable or distributable to Executive equals the Reduced Amount). If the Internal Revenue Service (the “</w:t>
      </w:r>
      <w:r>
        <w:rPr>
          <w:rFonts w:ascii="Arial" w:cs="Arial" w:eastAsia="Arial" w:hAnsi="Arial"/>
          <w:sz w:val="19"/>
          <w:szCs w:val="19"/>
          <w:u w:val="single" w:color="auto"/>
          <w:color w:val="auto"/>
        </w:rPr>
        <w:t>IRS</w:t>
      </w:r>
      <w:r>
        <w:rPr>
          <w:rFonts w:ascii="Arial" w:cs="Arial" w:eastAsia="Arial" w:hAnsi="Arial"/>
          <w:sz w:val="19"/>
          <w:szCs w:val="19"/>
          <w:color w:val="auto"/>
        </w:rPr>
        <w:t>”) determines that any Payment is subject to the Excise Tax, then Section 8(d)</w:t>
      </w:r>
    </w:p>
    <w:p>
      <w:pPr>
        <w:spacing w:after="0" w:line="4" w:lineRule="exact"/>
        <w:rPr>
          <w:rFonts w:ascii="Arial" w:cs="Arial" w:eastAsia="Arial" w:hAnsi="Arial"/>
          <w:sz w:val="19"/>
          <w:szCs w:val="19"/>
          <w:color w:val="auto"/>
        </w:rPr>
      </w:pPr>
    </w:p>
    <w:p>
      <w:pPr>
        <w:ind w:left="380" w:hanging="372"/>
        <w:spacing w:after="0"/>
        <w:tabs>
          <w:tab w:leader="none" w:pos="3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hereof shall apply, and the enforcement of Section 8(d)(iv) shall be the exclusive remedy to the Company.</w:t>
      </w:r>
    </w:p>
    <w:p>
      <w:pPr>
        <w:spacing w:after="0" w:line="155" w:lineRule="exact"/>
        <w:rPr>
          <w:rFonts w:ascii="Arial" w:cs="Arial" w:eastAsia="Arial" w:hAnsi="Arial"/>
          <w:sz w:val="22"/>
          <w:szCs w:val="22"/>
          <w:color w:val="auto"/>
        </w:rPr>
      </w:pPr>
    </w:p>
    <w:p>
      <w:pPr>
        <w:jc w:val="both"/>
        <w:ind w:firstLine="1952"/>
        <w:spacing w:after="0" w:line="246" w:lineRule="auto"/>
        <w:tabs>
          <w:tab w:leader="none" w:pos="2580" w:val="left"/>
        </w:tabs>
        <w:numPr>
          <w:ilvl w:val="1"/>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Adjustments. </w:t>
      </w:r>
      <w:r>
        <w:rPr>
          <w:rFonts w:ascii="Arial" w:cs="Arial" w:eastAsia="Arial" w:hAnsi="Arial"/>
          <w:sz w:val="19"/>
          <w:szCs w:val="19"/>
          <w:color w:val="auto"/>
        </w:rPr>
        <w:t>If, notwithstanding any reduction described in Section 8(d)(iii) (or in the absence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such reduction), the IRS determines that Executive is liable for the Excise Tax as a result of the receipt of one or more Payments, then Executive shall be obligated to surrender or pay back to the Company, within 120 days after a final IRS determination, an amount of such payments or benefits equal to the “</w:t>
      </w:r>
      <w:r>
        <w:rPr>
          <w:rFonts w:ascii="Arial" w:cs="Arial" w:eastAsia="Arial" w:hAnsi="Arial"/>
          <w:sz w:val="19"/>
          <w:szCs w:val="19"/>
          <w:u w:val="single" w:color="auto"/>
          <w:color w:val="auto"/>
        </w:rPr>
        <w:t>Repayment Amo</w:t>
      </w:r>
      <w:r>
        <w:rPr>
          <w:rFonts w:ascii="Arial" w:cs="Arial" w:eastAsia="Arial" w:hAnsi="Arial"/>
          <w:sz w:val="19"/>
          <w:szCs w:val="19"/>
          <w:color w:val="auto"/>
        </w:rPr>
        <w:t>unt.”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95" w:right="339" w:bottom="1440" w:gutter="0" w:footer="0" w:header="0"/>
        </w:sectPr>
      </w:pPr>
    </w:p>
    <w:bookmarkStart w:id="40" w:name="page41"/>
    <w:bookmarkEnd w:id="40"/>
    <w:p>
      <w:pPr>
        <w:jc w:val="both"/>
        <w:spacing w:after="0" w:line="210" w:lineRule="auto"/>
        <w:rPr>
          <w:sz w:val="20"/>
          <w:szCs w:val="20"/>
          <w:color w:val="auto"/>
        </w:rPr>
      </w:pPr>
      <w:r>
        <w:rPr>
          <w:rFonts w:ascii="Arial" w:cs="Arial" w:eastAsia="Arial" w:hAnsi="Arial"/>
          <w:sz w:val="22"/>
          <w:szCs w:val="22"/>
          <w:color w:val="auto"/>
        </w:rPr>
        <w:t>eliminate the Excise Tax imposed on such Payments or if a Repayment Amount of more than zero would not maximize the net amount received by Executive from the Payments. If the Excise Tax is not eliminated pursuant to this Section, Executive shall pay the Excise Tax.</w:t>
      </w:r>
    </w:p>
    <w:p>
      <w:pPr>
        <w:spacing w:after="0" w:line="2" w:lineRule="exact"/>
        <w:rPr>
          <w:sz w:val="20"/>
          <w:szCs w:val="20"/>
          <w:color w:val="auto"/>
        </w:rPr>
      </w:pPr>
    </w:p>
    <w:p>
      <w:pPr>
        <w:jc w:val="both"/>
        <w:ind w:firstLine="1952"/>
        <w:spacing w:after="0" w:line="237" w:lineRule="auto"/>
        <w:tabs>
          <w:tab w:leader="none" w:pos="2587" w:val="left"/>
        </w:tabs>
        <w:numPr>
          <w:ilvl w:val="3"/>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Acquirer Does Not Assume Performance Share Award. </w:t>
      </w:r>
      <w:r>
        <w:rPr>
          <w:rFonts w:ascii="Arial" w:cs="Arial" w:eastAsia="Arial" w:hAnsi="Arial"/>
          <w:sz w:val="19"/>
          <w:szCs w:val="19"/>
          <w:color w:val="auto"/>
        </w:rPr>
        <w:t>In the event of a Change in Control, the</w:t>
      </w:r>
      <w:r>
        <w:rPr>
          <w:rFonts w:ascii="Arial" w:cs="Arial" w:eastAsia="Arial" w:hAnsi="Arial"/>
          <w:sz w:val="19"/>
          <w:szCs w:val="19"/>
          <w:b w:val="1"/>
          <w:bCs w:val="1"/>
          <w:color w:val="auto"/>
        </w:rPr>
        <w:t xml:space="preserve"> </w:t>
      </w:r>
      <w:r>
        <w:rPr>
          <w:rFonts w:ascii="Arial" w:cs="Arial" w:eastAsia="Arial" w:hAnsi="Arial"/>
          <w:sz w:val="19"/>
          <w:szCs w:val="19"/>
          <w:color w:val="auto"/>
        </w:rPr>
        <w:t>surviving, continuing, successor, or purchasing corporation or other business entity or parent thereof, as the case may be (the “</w:t>
      </w:r>
      <w:r>
        <w:rPr>
          <w:rFonts w:ascii="Arial" w:cs="Arial" w:eastAsia="Arial" w:hAnsi="Arial"/>
          <w:sz w:val="19"/>
          <w:szCs w:val="19"/>
          <w:u w:val="single" w:color="auto"/>
          <w:color w:val="auto"/>
        </w:rPr>
        <w:t>Acquirer</w:t>
      </w:r>
      <w:r>
        <w:rPr>
          <w:rFonts w:ascii="Arial" w:cs="Arial" w:eastAsia="Arial" w:hAnsi="Arial"/>
          <w:sz w:val="19"/>
          <w:szCs w:val="19"/>
          <w:color w:val="auto"/>
        </w:rPr>
        <w:t>”), may, without the consent of the Executive, assume or continue in full force and effect the Company’s rights and obligations under a Performance Share Award or substitute for the Award a substantially equivalent award for the Acquirer’s stock. For purposes of this Section, a Performance Share Award shall be deemed assumed if, following the Change in Control, the Award confers the right to receive, subject to the terms and conditions of the applicable Company incentive plan and this Agreement, for each Performance Share or Unvested Common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Performance Share Awards in connection with a Change in Control prior to the Performance Share Vesting Date, (i) the Target Number of Performance Shares shall become fully vested and such Performance Shares shall be deemed Vested Performance Shares and one Vested Common Share shall be issued to the Executive for each such Vested Performance Share immediately prior to the Change in Control and</w:t>
      </w:r>
    </w:p>
    <w:p>
      <w:pPr>
        <w:spacing w:after="0" w:line="3" w:lineRule="exact"/>
        <w:rPr>
          <w:rFonts w:ascii="Arial" w:cs="Arial" w:eastAsia="Arial" w:hAnsi="Arial"/>
          <w:sz w:val="19"/>
          <w:szCs w:val="19"/>
          <w:color w:val="auto"/>
        </w:rPr>
      </w:pPr>
    </w:p>
    <w:p>
      <w:pPr>
        <w:jc w:val="both"/>
        <w:ind w:firstLine="8"/>
        <w:spacing w:after="0" w:line="237" w:lineRule="auto"/>
        <w:tabs>
          <w:tab w:leader="none" w:pos="366" w:val="left"/>
        </w:tabs>
        <w:numPr>
          <w:ilvl w:val="0"/>
          <w:numId w:val="34"/>
        </w:numPr>
        <w:rPr>
          <w:rFonts w:ascii="Arial" w:cs="Arial" w:eastAsia="Arial" w:hAnsi="Arial"/>
          <w:sz w:val="19"/>
          <w:szCs w:val="19"/>
          <w:color w:val="auto"/>
        </w:rPr>
      </w:pPr>
      <w:r>
        <w:rPr>
          <w:rFonts w:ascii="Arial" w:cs="Arial" w:eastAsia="Arial" w:hAnsi="Arial"/>
          <w:sz w:val="19"/>
          <w:szCs w:val="19"/>
          <w:color w:val="auto"/>
        </w:rPr>
        <w:t>any Unvested Common Shares issued in settlement of Performance Share Awards shall become fully vested effective immediately prior to the Change in Control, provided that the Executive’s employment with the Company has not terminated immediately prior to the Change in Control. The vesting of Performance Shares and settlement of Awards that were permissible solely by reason of this Section shall be conditioned upon the consummation of the Change in Control.</w:t>
      </w:r>
    </w:p>
    <w:p>
      <w:pPr>
        <w:jc w:val="both"/>
        <w:ind w:firstLine="1952"/>
        <w:spacing w:after="0" w:line="237" w:lineRule="auto"/>
        <w:tabs>
          <w:tab w:leader="none" w:pos="2580" w:val="left"/>
        </w:tabs>
        <w:numPr>
          <w:ilvl w:val="3"/>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Acquirer Does Not Assume Restricted Stock Award. </w:t>
      </w:r>
      <w:r>
        <w:rPr>
          <w:rFonts w:ascii="Arial" w:cs="Arial" w:eastAsia="Arial" w:hAnsi="Arial"/>
          <w:sz w:val="19"/>
          <w:szCs w:val="19"/>
          <w:color w:val="auto"/>
        </w:rPr>
        <w:t>In the event of a Change in Control, the</w:t>
      </w:r>
      <w:r>
        <w:rPr>
          <w:rFonts w:ascii="Arial" w:cs="Arial" w:eastAsia="Arial" w:hAnsi="Arial"/>
          <w:sz w:val="19"/>
          <w:szCs w:val="19"/>
          <w:b w:val="1"/>
          <w:bCs w:val="1"/>
          <w:color w:val="auto"/>
        </w:rPr>
        <w:t xml:space="preserve"> </w:t>
      </w:r>
      <w:r>
        <w:rPr>
          <w:rFonts w:ascii="Arial" w:cs="Arial" w:eastAsia="Arial" w:hAnsi="Arial"/>
          <w:sz w:val="19"/>
          <w:szCs w:val="19"/>
          <w:color w:val="auto"/>
        </w:rPr>
        <w:t>Acquirer, may, without the consent of the Executive, assume or continue in full force and effect the Company’s rights and obligations under a Restricted Stock Award or substitute for the Award a substantially equivalent award for the Acquirer’s stock. For purposes of this Section, a Restricted Stock Award shall be deemed assumed if, following the Change in Control, the Award confers the right to receive, subject to the terms and conditions of the applicable Company incentive plan and this Agreement, for each Share subject to the Award immediately prior to the Change in Control, the consideration (whether stock, cash, other securities or property or a combination thereof) to which a holder of a share of Stock on the effective date of the Change in Control was entitled. Notwithstanding any other provision of this Agreement to the contrary, if the Acquirer elects not to assume, continue or substitute for the outstanding Stock Award in connection with a Change in Control, all of the Shares shall become vested immediately prior to the Change in Control, provided that the Executive’s employment with the Company has not terminated immediately prior to the Change in Control. The vesting of Shares and settlement of Awards that were permissible solely by reason of this Section shall be conditioned upon the consummation of the Change in Control.</w:t>
      </w:r>
    </w:p>
    <w:p>
      <w:pPr>
        <w:spacing w:after="0" w:line="2" w:lineRule="exact"/>
        <w:rPr>
          <w:rFonts w:ascii="Arial" w:cs="Arial" w:eastAsia="Arial" w:hAnsi="Arial"/>
          <w:sz w:val="19"/>
          <w:szCs w:val="19"/>
          <w:color w:val="auto"/>
        </w:rPr>
      </w:pPr>
    </w:p>
    <w:p>
      <w:pPr>
        <w:ind w:left="1300" w:hanging="644"/>
        <w:spacing w:after="0"/>
        <w:tabs>
          <w:tab w:leader="none" w:pos="1300" w:val="left"/>
        </w:tabs>
        <w:numPr>
          <w:ilvl w:val="1"/>
          <w:numId w:val="34"/>
        </w:numPr>
        <w:rPr>
          <w:rFonts w:ascii="Arial" w:cs="Arial" w:eastAsia="Arial" w:hAnsi="Arial"/>
          <w:sz w:val="22"/>
          <w:szCs w:val="22"/>
          <w:color w:val="auto"/>
        </w:rPr>
      </w:pPr>
      <w:r>
        <w:rPr>
          <w:rFonts w:ascii="Arial" w:cs="Arial" w:eastAsia="Arial" w:hAnsi="Arial"/>
          <w:sz w:val="22"/>
          <w:szCs w:val="22"/>
          <w:b w:val="1"/>
          <w:bCs w:val="1"/>
          <w:color w:val="auto"/>
        </w:rPr>
        <w:t>Certain Employment Obligations.</w:t>
      </w:r>
    </w:p>
    <w:p>
      <w:pPr>
        <w:spacing w:after="0" w:line="47" w:lineRule="exact"/>
        <w:rPr>
          <w:rFonts w:ascii="Arial" w:cs="Arial" w:eastAsia="Arial" w:hAnsi="Arial"/>
          <w:sz w:val="22"/>
          <w:szCs w:val="22"/>
          <w:color w:val="auto"/>
        </w:rPr>
      </w:pPr>
    </w:p>
    <w:p>
      <w:pPr>
        <w:jc w:val="both"/>
        <w:ind w:firstLine="1304"/>
        <w:spacing w:after="0" w:line="227" w:lineRule="auto"/>
        <w:tabs>
          <w:tab w:leader="none" w:pos="1941" w:val="left"/>
        </w:tabs>
        <w:numPr>
          <w:ilvl w:val="2"/>
          <w:numId w:val="34"/>
        </w:numPr>
        <w:rPr>
          <w:rFonts w:ascii="Arial" w:cs="Arial" w:eastAsia="Arial" w:hAnsi="Arial"/>
          <w:sz w:val="21"/>
          <w:szCs w:val="21"/>
          <w:color w:val="auto"/>
        </w:rPr>
      </w:pPr>
      <w:r>
        <w:rPr>
          <w:rFonts w:ascii="Arial" w:cs="Arial" w:eastAsia="Arial" w:hAnsi="Arial"/>
          <w:sz w:val="21"/>
          <w:szCs w:val="21"/>
          <w:b w:val="1"/>
          <w:bCs w:val="1"/>
          <w:color w:val="auto"/>
        </w:rPr>
        <w:t xml:space="preserve">Employee Acknowledgement. </w:t>
      </w:r>
      <w:r>
        <w:rPr>
          <w:rFonts w:ascii="Arial" w:cs="Arial" w:eastAsia="Arial" w:hAnsi="Arial"/>
          <w:sz w:val="21"/>
          <w:szCs w:val="21"/>
          <w:color w:val="auto"/>
        </w:rPr>
        <w:t>The Company and the Executive acknowledge that (i) the Company has a</w:t>
      </w:r>
      <w:r>
        <w:rPr>
          <w:rFonts w:ascii="Arial" w:cs="Arial" w:eastAsia="Arial" w:hAnsi="Arial"/>
          <w:sz w:val="21"/>
          <w:szCs w:val="21"/>
          <w:b w:val="1"/>
          <w:bCs w:val="1"/>
          <w:color w:val="auto"/>
        </w:rPr>
        <w:t xml:space="preserve"> </w:t>
      </w:r>
      <w:r>
        <w:rPr>
          <w:rFonts w:ascii="Arial" w:cs="Arial" w:eastAsia="Arial" w:hAnsi="Arial"/>
          <w:sz w:val="21"/>
          <w:szCs w:val="21"/>
          <w:color w:val="auto"/>
        </w:rPr>
        <w:t>special interest in and derives significant benefit from the unique skills and experience of the Executive; (ii) as a result of the Executive’s service with the Company, the Executive will use and have access to some of the Company’s proprietary and valuable Confidential Information during the course of the Executive’s employment; (iii) the Confidential Information has been developed and created by the Company at substantial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41" w:name="page42"/>
    <w:bookmarkEnd w:id="41"/>
    <w:p>
      <w:pPr>
        <w:jc w:val="both"/>
        <w:spacing w:after="0" w:line="221" w:lineRule="auto"/>
        <w:rPr>
          <w:sz w:val="20"/>
          <w:szCs w:val="20"/>
          <w:color w:val="auto"/>
        </w:rPr>
      </w:pPr>
      <w:r>
        <w:rPr>
          <w:rFonts w:ascii="Arial" w:cs="Arial" w:eastAsia="Arial" w:hAnsi="Arial"/>
          <w:sz w:val="21"/>
          <w:szCs w:val="21"/>
          <w:color w:val="auto"/>
        </w:rPr>
        <w:t>and constitutes valuable proprietary assets of the Company, and the Company will suffer substantial damage and irreparable harm which will be difficult to compute if, during the Term of Employment or thereafter, the Executive should disclose or improperly use such Confidential Information in violation of the provisions of this Agreement; (iv) the Company will suffer substantial damage and irreparable harm which will be difficult to compute if the Executive competes with the Company in violation of this Agreement; (v) the Company will suffer substantial damage which will be difficult to compute if the Executive solicits or interferes with the Company’s employees, clients, or customers; (vi) the provisions of this Agreement are reasonable and necessary for the protection of the business of the Company; and (vii) the provisions of this Agreement will not preclude the Executive from obtaining other gainful employment or service.</w:t>
      </w:r>
    </w:p>
    <w:p>
      <w:pPr>
        <w:spacing w:after="0" w:line="159" w:lineRule="exact"/>
        <w:rPr>
          <w:sz w:val="20"/>
          <w:szCs w:val="20"/>
          <w:color w:val="auto"/>
        </w:rPr>
      </w:pPr>
    </w:p>
    <w:p>
      <w:pPr>
        <w:ind w:left="1940" w:hanging="636"/>
        <w:spacing w:after="0"/>
        <w:tabs>
          <w:tab w:leader="none" w:pos="194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Non-Compete.</w:t>
      </w:r>
    </w:p>
    <w:p>
      <w:pPr>
        <w:spacing w:after="0" w:line="185" w:lineRule="exact"/>
        <w:rPr>
          <w:rFonts w:ascii="Arial" w:cs="Arial" w:eastAsia="Arial" w:hAnsi="Arial"/>
          <w:sz w:val="22"/>
          <w:szCs w:val="22"/>
          <w:color w:val="auto"/>
        </w:rPr>
      </w:pPr>
    </w:p>
    <w:p>
      <w:pPr>
        <w:jc w:val="both"/>
        <w:ind w:firstLine="1952"/>
        <w:spacing w:after="0" w:line="257" w:lineRule="auto"/>
        <w:tabs>
          <w:tab w:leader="none" w:pos="2580" w:val="left"/>
        </w:tabs>
        <w:numPr>
          <w:ilvl w:val="1"/>
          <w:numId w:val="35"/>
        </w:numPr>
        <w:rPr>
          <w:rFonts w:ascii="Arial" w:cs="Arial" w:eastAsia="Arial" w:hAnsi="Arial"/>
          <w:sz w:val="19"/>
          <w:szCs w:val="19"/>
          <w:color w:val="auto"/>
        </w:rPr>
      </w:pPr>
      <w:r>
        <w:rPr>
          <w:rFonts w:ascii="Arial" w:cs="Arial" w:eastAsia="Arial" w:hAnsi="Arial"/>
          <w:sz w:val="19"/>
          <w:szCs w:val="19"/>
          <w:color w:val="auto"/>
        </w:rPr>
        <w:t>During the period of the Executive’s employment with the Company and for a period of 24 months following the Executive's termination of employment with the Company, the Executive shall not, directly or indirectly, own, manage, control, be employed by, consult with, participate in, or be connected in any manner with the ownership, management, operation, control of, or otherwise become involved with, any Competing Business, without the Company’s written consent.</w:t>
      </w:r>
    </w:p>
    <w:p>
      <w:pPr>
        <w:spacing w:after="0" w:line="144" w:lineRule="exact"/>
        <w:rPr>
          <w:sz w:val="20"/>
          <w:szCs w:val="20"/>
          <w:color w:val="auto"/>
        </w:rPr>
      </w:pPr>
    </w:p>
    <w:p>
      <w:pPr>
        <w:jc w:val="both"/>
        <w:ind w:firstLine="272"/>
        <w:spacing w:after="0" w:line="223" w:lineRule="auto"/>
        <w:rPr>
          <w:sz w:val="20"/>
          <w:szCs w:val="20"/>
          <w:color w:val="auto"/>
        </w:rPr>
      </w:pPr>
      <w:r>
        <w:rPr>
          <w:rFonts w:ascii="Arial" w:cs="Arial" w:eastAsia="Arial" w:hAnsi="Arial"/>
          <w:sz w:val="22"/>
          <w:szCs w:val="22"/>
          <w:color w:val="auto"/>
        </w:rPr>
        <w:t>For purposes of this Agreement, a Competing Business shall mean any of the following: (1) any off-price retailer including, without limitation, Burlington Stores, Inc., The TJX Companies, Inc., and Stein Mart, Inc.; (2) Macy’s, Inc.; and (3) any affiliates, subsidiaries or successors of the businesses identified above.</w:t>
      </w:r>
    </w:p>
    <w:p>
      <w:pPr>
        <w:spacing w:after="0" w:line="186" w:lineRule="exact"/>
        <w:rPr>
          <w:sz w:val="20"/>
          <w:szCs w:val="20"/>
          <w:color w:val="auto"/>
        </w:rPr>
      </w:pPr>
    </w:p>
    <w:p>
      <w:pPr>
        <w:ind w:firstLine="1952"/>
        <w:spacing w:after="0" w:line="232" w:lineRule="auto"/>
        <w:tabs>
          <w:tab w:leader="none" w:pos="2586" w:val="left"/>
        </w:tabs>
        <w:numPr>
          <w:ilvl w:val="1"/>
          <w:numId w:val="36"/>
        </w:numPr>
        <w:rPr>
          <w:rFonts w:ascii="Arial" w:cs="Arial" w:eastAsia="Arial" w:hAnsi="Arial"/>
          <w:sz w:val="22"/>
          <w:szCs w:val="22"/>
          <w:color w:val="auto"/>
        </w:rPr>
      </w:pPr>
      <w:r>
        <w:rPr>
          <w:rFonts w:ascii="Arial" w:cs="Arial" w:eastAsia="Arial" w:hAnsi="Arial"/>
          <w:sz w:val="22"/>
          <w:szCs w:val="22"/>
          <w:color w:val="auto"/>
        </w:rPr>
        <w:t>Section 9(b)(i) shall not prohibit the Executive from making any investment of 1% or less of the equity securities of any publicly-traded corporation which is considered to be a Competing Business</w:t>
      </w:r>
    </w:p>
    <w:p>
      <w:pPr>
        <w:spacing w:after="0" w:line="152" w:lineRule="exact"/>
        <w:rPr>
          <w:rFonts w:ascii="Arial" w:cs="Arial" w:eastAsia="Arial" w:hAnsi="Arial"/>
          <w:sz w:val="22"/>
          <w:szCs w:val="22"/>
          <w:color w:val="auto"/>
        </w:rPr>
      </w:pPr>
    </w:p>
    <w:p>
      <w:pPr>
        <w:jc w:val="both"/>
        <w:ind w:firstLine="1304"/>
        <w:spacing w:after="0" w:line="219" w:lineRule="auto"/>
        <w:tabs>
          <w:tab w:leader="none" w:pos="1941"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 xml:space="preserve">Non-Solicitation of Employees. </w:t>
      </w:r>
      <w:r>
        <w:rPr>
          <w:rFonts w:ascii="Arial" w:cs="Arial" w:eastAsia="Arial" w:hAnsi="Arial"/>
          <w:sz w:val="21"/>
          <w:szCs w:val="21"/>
          <w:color w:val="auto"/>
        </w:rPr>
        <w:t>During the period of the Executive’s employment with the Company and</w:t>
      </w:r>
      <w:r>
        <w:rPr>
          <w:rFonts w:ascii="Arial" w:cs="Arial" w:eastAsia="Arial" w:hAnsi="Arial"/>
          <w:sz w:val="21"/>
          <w:szCs w:val="21"/>
          <w:b w:val="1"/>
          <w:bCs w:val="1"/>
          <w:color w:val="auto"/>
        </w:rPr>
        <w:t xml:space="preserve"> </w:t>
      </w:r>
      <w:r>
        <w:rPr>
          <w:rFonts w:ascii="Arial" w:cs="Arial" w:eastAsia="Arial" w:hAnsi="Arial"/>
          <w:sz w:val="21"/>
          <w:szCs w:val="21"/>
          <w:color w:val="auto"/>
        </w:rPr>
        <w:t>for a period of 24 months following the Executive’s termination of that employment with the Company, the Executive shall not, without the written permission of the Company or an affected affiliate, directly or indirectly (i) solicit, recruit, attempt to recruit or raid, or have or cause any other person or entity to solicit, recruit, attempt to recruit or raid, or otherwise induce the termination of employment of, any person who is employed by the Company or was employed by the Company during the 6-month period prior to such solicitation, employment, or retainer; (ii) encourage any such person not to devote such person’s full business time to the Company; or (iii) agree to hire or employ any such person. Executive also shall not use any of the Company’s trade secrets to directly or indirectly solicit the employees of the Company.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55" w:lineRule="exact"/>
        <w:rPr>
          <w:rFonts w:ascii="Arial" w:cs="Arial" w:eastAsia="Arial" w:hAnsi="Arial"/>
          <w:sz w:val="21"/>
          <w:szCs w:val="21"/>
          <w:color w:val="auto"/>
        </w:rPr>
      </w:pPr>
    </w:p>
    <w:p>
      <w:pPr>
        <w:jc w:val="both"/>
        <w:ind w:firstLine="1304"/>
        <w:spacing w:after="0" w:line="225" w:lineRule="auto"/>
        <w:tabs>
          <w:tab w:leader="none" w:pos="1939"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Non-Solicitation of Third Parties. </w:t>
      </w:r>
      <w:r>
        <w:rPr>
          <w:rFonts w:ascii="Arial" w:cs="Arial" w:eastAsia="Arial" w:hAnsi="Arial"/>
          <w:sz w:val="22"/>
          <w:szCs w:val="22"/>
          <w:color w:val="auto"/>
        </w:rPr>
        <w:t>During the period of the Executive’s employment with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and for a period of 24 months following the Executive’s termination of employment with the Company, the Executive shall not in any way use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42" w:name="page43"/>
    <w:bookmarkEnd w:id="42"/>
    <w:p>
      <w:pPr>
        <w:jc w:val="both"/>
        <w:spacing w:after="0" w:line="246" w:lineRule="auto"/>
        <w:rPr>
          <w:sz w:val="20"/>
          <w:szCs w:val="20"/>
          <w:color w:val="auto"/>
        </w:rPr>
      </w:pPr>
      <w:r>
        <w:rPr>
          <w:rFonts w:ascii="Arial" w:cs="Arial" w:eastAsia="Arial" w:hAnsi="Arial"/>
          <w:sz w:val="19"/>
          <w:szCs w:val="19"/>
          <w:color w:val="auto"/>
        </w:rPr>
        <w:t>Company’s trade secrets to directly or indirectly solicit or otherwise influence any entity with a business arrangement with the Company, including, without limitation, suppliers, sales representatives, lenders, lessors, and lessees, to discontinue, reduce, or otherwise materially or adversely affect such relationship. These non-solicitation provisions explicitly cover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entering into this Agreement. However, it will not be deemed a violation of this Agreement if the Executive merely updates the Executive's LinkedIn profile without engaging in any other substantive communication, by social media or otherwise, that is prohibited by this non-solicitation provision.</w:t>
      </w:r>
    </w:p>
    <w:p>
      <w:pPr>
        <w:spacing w:after="0" w:line="146" w:lineRule="exact"/>
        <w:rPr>
          <w:sz w:val="20"/>
          <w:szCs w:val="20"/>
          <w:color w:val="auto"/>
        </w:rPr>
      </w:pPr>
    </w:p>
    <w:p>
      <w:pPr>
        <w:jc w:val="both"/>
        <w:ind w:firstLine="1304"/>
        <w:spacing w:after="0" w:line="220" w:lineRule="auto"/>
        <w:tabs>
          <w:tab w:leader="none" w:pos="1941" w:val="left"/>
        </w:tabs>
        <w:numPr>
          <w:ilvl w:val="1"/>
          <w:numId w:val="38"/>
        </w:numPr>
        <w:rPr>
          <w:rFonts w:ascii="Arial" w:cs="Arial" w:eastAsia="Arial" w:hAnsi="Arial"/>
          <w:sz w:val="22"/>
          <w:szCs w:val="22"/>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The Executive acknowledges and agrees that the Executive will not defame or</w:t>
      </w:r>
      <w:r>
        <w:rPr>
          <w:rFonts w:ascii="Arial" w:cs="Arial" w:eastAsia="Arial" w:hAnsi="Arial"/>
          <w:sz w:val="22"/>
          <w:szCs w:val="22"/>
          <w:b w:val="1"/>
          <w:bCs w:val="1"/>
          <w:color w:val="auto"/>
        </w:rPr>
        <w:t xml:space="preserve"> </w:t>
      </w:r>
      <w:r>
        <w:rPr>
          <w:rFonts w:ascii="Arial" w:cs="Arial" w:eastAsia="Arial" w:hAnsi="Arial"/>
          <w:sz w:val="22"/>
          <w:szCs w:val="22"/>
          <w:color w:val="auto"/>
        </w:rPr>
        <w:t>criticize the services, business, integrity, veracity, or personal or professional reputation of the Company or any of its directors, officers, employees, affiliates, or agents of any of the foregoing in either a professional or personal manner either during the Term of Employment or thereafter.</w:t>
      </w:r>
    </w:p>
    <w:p>
      <w:pPr>
        <w:spacing w:after="0" w:line="152" w:lineRule="exact"/>
        <w:rPr>
          <w:rFonts w:ascii="Arial" w:cs="Arial" w:eastAsia="Arial" w:hAnsi="Arial"/>
          <w:sz w:val="22"/>
          <w:szCs w:val="22"/>
          <w:color w:val="auto"/>
        </w:rPr>
      </w:pPr>
    </w:p>
    <w:p>
      <w:pPr>
        <w:ind w:left="1360" w:hanging="704"/>
        <w:spacing w:after="0"/>
        <w:tabs>
          <w:tab w:leader="none" w:pos="1360"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Company Remedies for Executive’s Breach of Certain Obligations.</w:t>
      </w:r>
    </w:p>
    <w:p>
      <w:pPr>
        <w:spacing w:after="0" w:line="185" w:lineRule="exact"/>
        <w:rPr>
          <w:rFonts w:ascii="Arial" w:cs="Arial" w:eastAsia="Arial" w:hAnsi="Arial"/>
          <w:sz w:val="22"/>
          <w:szCs w:val="22"/>
          <w:color w:val="auto"/>
        </w:rPr>
      </w:pPr>
    </w:p>
    <w:p>
      <w:pPr>
        <w:jc w:val="both"/>
        <w:ind w:firstLine="1304"/>
        <w:spacing w:after="0" w:line="216" w:lineRule="auto"/>
        <w:tabs>
          <w:tab w:leader="none" w:pos="1941"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Executive acknowledges and agrees that in the event that the Executive breaches or threatens to breach Sections 5 or 9 of this Agreement, all compensation and benefits otherwise payable pursuant to this Agreement and the vesting and/or exercisability of all stock options, restricted stock, performance shares, and other forms of equity compensation previously awarded to the Executive, notwithstanding the provisions of any agreement evidencing any such award to the contrary, shall immediately cease.</w:t>
      </w:r>
    </w:p>
    <w:p>
      <w:pPr>
        <w:spacing w:after="0" w:line="157" w:lineRule="exact"/>
        <w:rPr>
          <w:rFonts w:ascii="Arial" w:cs="Arial" w:eastAsia="Arial" w:hAnsi="Arial"/>
          <w:sz w:val="22"/>
          <w:szCs w:val="22"/>
          <w:color w:val="auto"/>
        </w:rPr>
      </w:pPr>
    </w:p>
    <w:p>
      <w:pPr>
        <w:jc w:val="both"/>
        <w:ind w:firstLine="1304"/>
        <w:spacing w:after="0" w:line="218" w:lineRule="auto"/>
        <w:tabs>
          <w:tab w:leader="none" w:pos="1939"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Company shall give prompt notice to the Executive of its discovery of a breach by the Executive of Sections 5 or 9 of this Agreement. If it is determined by a vote of not less than two-thirds of the members of the Board that the Executive has breached Sections 5 or 9 of this Agreement and has not cured such breach within ten business days of such notice, then:</w:t>
      </w:r>
    </w:p>
    <w:p>
      <w:pPr>
        <w:spacing w:after="0" w:line="160" w:lineRule="exact"/>
        <w:rPr>
          <w:rFonts w:ascii="Arial" w:cs="Arial" w:eastAsia="Arial" w:hAnsi="Arial"/>
          <w:sz w:val="22"/>
          <w:szCs w:val="22"/>
          <w:color w:val="auto"/>
        </w:rPr>
      </w:pPr>
    </w:p>
    <w:p>
      <w:pPr>
        <w:jc w:val="both"/>
        <w:ind w:firstLine="1952"/>
        <w:spacing w:after="0" w:line="247" w:lineRule="auto"/>
        <w:tabs>
          <w:tab w:leader="none" w:pos="2580" w:val="left"/>
        </w:tabs>
        <w:numPr>
          <w:ilvl w:val="2"/>
          <w:numId w:val="39"/>
        </w:numPr>
        <w:rPr>
          <w:rFonts w:ascii="Arial" w:cs="Arial" w:eastAsia="Arial" w:hAnsi="Arial"/>
          <w:sz w:val="19"/>
          <w:szCs w:val="19"/>
          <w:color w:val="auto"/>
        </w:rPr>
      </w:pPr>
      <w:r>
        <w:rPr>
          <w:rFonts w:ascii="Arial" w:cs="Arial" w:eastAsia="Arial" w:hAnsi="Arial"/>
          <w:sz w:val="19"/>
          <w:szCs w:val="19"/>
          <w:color w:val="auto"/>
        </w:rPr>
        <w:t>the Executive shall forfeit to the Company (A) all stock options, stock appreciation rights, performance shares and other equity compensation awards (other than shares of restricted stock, restricted stock units, common shares issued in settlement of performance share awards, or similar awards) granted to the Executive by the Company which remain outstanding and unexercised or unpaid as of the date of such determination by the Board (the “</w:t>
      </w:r>
      <w:r>
        <w:rPr>
          <w:rFonts w:ascii="Arial" w:cs="Arial" w:eastAsia="Arial" w:hAnsi="Arial"/>
          <w:sz w:val="19"/>
          <w:szCs w:val="19"/>
          <w:u w:val="single" w:color="auto"/>
          <w:color w:val="auto"/>
        </w:rPr>
        <w:t>Breach Determination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(B) all shares of restricted stock, restricted stock units, and common shares issued in settlement of performance share awards and similar awards granted to the Executive by the Company which continue to be held by the Executive as of the Breach Determination Date to the extent that such awards vested during the Forfeiture Period (as defined below); and</w:t>
      </w:r>
    </w:p>
    <w:p>
      <w:pPr>
        <w:spacing w:after="0" w:line="153" w:lineRule="exact"/>
        <w:rPr>
          <w:rFonts w:ascii="Arial" w:cs="Arial" w:eastAsia="Arial" w:hAnsi="Arial"/>
          <w:sz w:val="19"/>
          <w:szCs w:val="19"/>
          <w:color w:val="auto"/>
        </w:rPr>
      </w:pPr>
    </w:p>
    <w:p>
      <w:pPr>
        <w:jc w:val="both"/>
        <w:ind w:firstLine="1952"/>
        <w:spacing w:after="0" w:line="249" w:lineRule="auto"/>
        <w:tabs>
          <w:tab w:leader="none" w:pos="2586" w:val="left"/>
        </w:tabs>
        <w:numPr>
          <w:ilvl w:val="2"/>
          <w:numId w:val="39"/>
        </w:numPr>
        <w:rPr>
          <w:rFonts w:ascii="Arial" w:cs="Arial" w:eastAsia="Arial" w:hAnsi="Arial"/>
          <w:sz w:val="19"/>
          <w:szCs w:val="19"/>
          <w:color w:val="auto"/>
        </w:rPr>
      </w:pPr>
      <w:r>
        <w:rPr>
          <w:rFonts w:ascii="Arial" w:cs="Arial" w:eastAsia="Arial" w:hAnsi="Arial"/>
          <w:sz w:val="19"/>
          <w:szCs w:val="19"/>
          <w:color w:val="auto"/>
        </w:rPr>
        <w:t>the Executive shall pay to the Company all gains realized by the Executive upon (A) the exercise by or payment in settlement to the Executive on and after the commencement of the Forfeiture Period of stock options, stock appreciation rights, performance shares and other equity compensation awards (other than shares of restricted stock, restricted stock units or similar awards) granted to the Executive by the Company and (B) the sale on and after the commencement of the Forfeiture Period of shares or other property received by the Executive pursuant to awards of restricted stock, restricted stock units, or similar awards granted to the Executive by the Company and which vested during the Forfeiture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43" w:name="page44"/>
    <w:bookmarkEnd w:id="43"/>
    <w:p>
      <w:pPr>
        <w:jc w:val="both"/>
        <w:ind w:firstLine="1304"/>
        <w:spacing w:after="0" w:line="243" w:lineRule="auto"/>
        <w:tabs>
          <w:tab w:leader="none" w:pos="1941" w:val="left"/>
        </w:tabs>
        <w:numPr>
          <w:ilvl w:val="1"/>
          <w:numId w:val="40"/>
        </w:numPr>
        <w:rPr>
          <w:rFonts w:ascii="Arial" w:cs="Arial" w:eastAsia="Arial" w:hAnsi="Arial"/>
          <w:sz w:val="19"/>
          <w:szCs w:val="19"/>
          <w:color w:val="auto"/>
        </w:rPr>
      </w:pPr>
      <w:r>
        <w:rPr>
          <w:rFonts w:ascii="Arial" w:cs="Arial" w:eastAsia="Arial" w:hAnsi="Arial"/>
          <w:sz w:val="19"/>
          <w:szCs w:val="19"/>
          <w:color w:val="auto"/>
        </w:rPr>
        <w:t>For purposes of this Section, the gain realized by the Executive upon the exercise or payment in settlement of stock options, stock appreciation rights, performance shares, and other equity compensation awards shall be equal to (A) the closing sale price on the date of exercise or settlement (as reported on the stock exchange or market system constituting the principal market for the shares subject to the applicable award) of the number of vested shares issued to the Executive upon such exercise or settlement, reduced by the purchase price, if any, paid by the Executive to acquire such shares, or (B) if any such award was settled by payment in cash to the Executive, the gain realized by the Executive shall be equal to the amount of cash paid to the Executive. Further, for purposes of this Section, the gain realized by the Executive upon the sale of shares or other property received by the Executive pursuant to awards of restricted stock, restricted stock units, or similar awards shall be equal to the gross proceeds of such sale realized by the Executive. Gains determined for purposes of this Section shall be determined without regard to any subsequent increase or decrease in the market price of the Company’s stock or taxes paid by or withheld from the Executive with respect to such transactions.</w:t>
      </w:r>
    </w:p>
    <w:p>
      <w:pPr>
        <w:spacing w:after="0" w:line="158" w:lineRule="exact"/>
        <w:rPr>
          <w:rFonts w:ascii="Arial" w:cs="Arial" w:eastAsia="Arial" w:hAnsi="Arial"/>
          <w:sz w:val="19"/>
          <w:szCs w:val="19"/>
          <w:color w:val="auto"/>
        </w:rPr>
      </w:pPr>
    </w:p>
    <w:p>
      <w:pPr>
        <w:jc w:val="both"/>
        <w:ind w:firstLine="1304"/>
        <w:spacing w:after="0" w:line="234" w:lineRule="auto"/>
        <w:tabs>
          <w:tab w:leader="none" w:pos="1939" w:val="left"/>
        </w:tabs>
        <w:numPr>
          <w:ilvl w:val="1"/>
          <w:numId w:val="40"/>
        </w:numPr>
        <w:rPr>
          <w:rFonts w:ascii="Arial" w:cs="Arial" w:eastAsia="Arial" w:hAnsi="Arial"/>
          <w:sz w:val="21"/>
          <w:szCs w:val="21"/>
          <w:color w:val="auto"/>
        </w:rPr>
      </w:pPr>
      <w:r>
        <w:rPr>
          <w:rFonts w:ascii="Arial" w:cs="Arial" w:eastAsia="Arial" w:hAnsi="Arial"/>
          <w:sz w:val="21"/>
          <w:szCs w:val="21"/>
          <w:color w:val="auto"/>
        </w:rPr>
        <w:t>For the purposes of this Section, the “</w:t>
      </w:r>
      <w:r>
        <w:rPr>
          <w:rFonts w:ascii="Arial" w:cs="Arial" w:eastAsia="Arial" w:hAnsi="Arial"/>
          <w:sz w:val="21"/>
          <w:szCs w:val="21"/>
          <w:u w:val="single" w:color="auto"/>
          <w:color w:val="auto"/>
        </w:rPr>
        <w:t>Forfeiture Period</w:t>
      </w:r>
      <w:r>
        <w:rPr>
          <w:rFonts w:ascii="Arial" w:cs="Arial" w:eastAsia="Arial" w:hAnsi="Arial"/>
          <w:sz w:val="21"/>
          <w:szCs w:val="21"/>
          <w:color w:val="auto"/>
        </w:rPr>
        <w:t>” shall be the period ending on the Breach Determination Date and beginning on the earlier of (A) the date six months prior to the Breach Determination Date or (B) the business day immediately preceding the date of the Executive’s termination of employment with the Company.</w:t>
      </w:r>
    </w:p>
    <w:p>
      <w:pPr>
        <w:spacing w:after="0" w:line="157" w:lineRule="exact"/>
        <w:rPr>
          <w:rFonts w:ascii="Arial" w:cs="Arial" w:eastAsia="Arial" w:hAnsi="Arial"/>
          <w:sz w:val="21"/>
          <w:szCs w:val="21"/>
          <w:color w:val="auto"/>
        </w:rPr>
      </w:pPr>
    </w:p>
    <w:p>
      <w:pPr>
        <w:ind w:right="20" w:firstLine="1304"/>
        <w:spacing w:after="0" w:line="232" w:lineRule="auto"/>
        <w:tabs>
          <w:tab w:leader="none" w:pos="1941"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Executive agrees to pay to the Company immediately upon the Breach Determination Date the amount payable by the Executive to the Company pursuant to this Section.</w:t>
      </w:r>
    </w:p>
    <w:p>
      <w:pPr>
        <w:spacing w:after="0" w:line="158" w:lineRule="exact"/>
        <w:rPr>
          <w:rFonts w:ascii="Arial" w:cs="Arial" w:eastAsia="Arial" w:hAnsi="Arial"/>
          <w:sz w:val="22"/>
          <w:szCs w:val="22"/>
          <w:color w:val="auto"/>
        </w:rPr>
      </w:pPr>
    </w:p>
    <w:p>
      <w:pPr>
        <w:jc w:val="both"/>
        <w:ind w:firstLine="1304"/>
        <w:spacing w:after="0" w:line="242" w:lineRule="auto"/>
        <w:tabs>
          <w:tab w:leader="none" w:pos="1944"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Executive acknowledges that money will not adequately compensate the Company for the substantial damages that will arise upon the breach or threatened breach of Sections 5 or 9 of this Agreement and that the Company will not have any adequate remedy at law. For this reason, such breach or threatened breach will not be subject to the arbitration clause in Section 19; rather, the Company will be entitled, in addition to other rights and remedies, to specific performance, injunctive relief, and other equitable relief to prevent or restrain such breach or threatened breach. The Company may obtain such relief from an arbitrator pursuant to Section 19 hereof, or by simultaneously seeking arbitration under Section 19 and a temporary injunction from a court pending the outcome of the arbitration. It shall be the Company’s sole and exclusive right to elect which approach to use to vindicate its rights. The Executive further agrees that in the event of a breach or threatened breach, the Company shall be entitled to obtain an immediate injunction and restraining order to prevent such breach and/or threatened breach and/or continued breach, without posting a bond or having to prove irreparable harm or damages, and to obtain all costs and expenses, including reasonable attorneys’ fees and costs. In addition, the existence of any claim or cause of action by the Executive against the Company, whether predicated on this Agreement or otherwise, shall not constitute a defense to the enforcement by the Company of the restrictive covenants in this Agreement.</w:t>
      </w:r>
    </w:p>
    <w:p>
      <w:pPr>
        <w:spacing w:after="0" w:line="154" w:lineRule="exact"/>
        <w:rPr>
          <w:rFonts w:ascii="Arial" w:cs="Arial" w:eastAsia="Arial" w:hAnsi="Arial"/>
          <w:sz w:val="19"/>
          <w:szCs w:val="19"/>
          <w:color w:val="auto"/>
        </w:rPr>
      </w:pPr>
    </w:p>
    <w:p>
      <w:pPr>
        <w:jc w:val="both"/>
        <w:ind w:firstLine="656"/>
        <w:spacing w:after="0" w:line="223" w:lineRule="auto"/>
        <w:tabs>
          <w:tab w:leader="none" w:pos="1143"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 xml:space="preserve">Recoupment. </w:t>
      </w:r>
      <w:r>
        <w:rPr>
          <w:rFonts w:ascii="Arial" w:cs="Arial" w:eastAsia="Arial" w:hAnsi="Arial"/>
          <w:sz w:val="21"/>
          <w:szCs w:val="21"/>
          <w:color w:val="auto"/>
        </w:rPr>
        <w:t>Executive hereby understands and agrees that the Executive is subject to the Company’s recoupment</w:t>
      </w:r>
      <w:r>
        <w:rPr>
          <w:rFonts w:ascii="Arial" w:cs="Arial" w:eastAsia="Arial" w:hAnsi="Arial"/>
          <w:sz w:val="21"/>
          <w:szCs w:val="21"/>
          <w:b w:val="1"/>
          <w:bCs w:val="1"/>
          <w:color w:val="auto"/>
        </w:rPr>
        <w:t xml:space="preserve"> </w:t>
      </w:r>
      <w:r>
        <w:rPr>
          <w:rFonts w:ascii="Arial" w:cs="Arial" w:eastAsia="Arial" w:hAnsi="Arial"/>
          <w:sz w:val="21"/>
          <w:szCs w:val="21"/>
          <w:color w:val="auto"/>
        </w:rPr>
        <w:t>policy. Under the current policy applicable to the Company’s senior executives, subject to the discretion and approval of the Board, the Company may, to the extent permitted by governing law, require reimbursement of any cash payments and reimbursement and/or cancellation of any Performance Share or Common Shares issued in settlement of a Performance Share to the Executive where all of the following factors are present: (1) the award was predicated upon the achievement of certain financial results that were subsequently the subject of a material restatement, (2) the Board determines that the Executive engaged in fraud or intentional misconduct that was a substantial contributing cause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44" w:name="page45"/>
    <w:bookmarkEnd w:id="44"/>
    <w:p>
      <w:pPr>
        <w:jc w:val="both"/>
        <w:spacing w:after="0" w:line="223" w:lineRule="auto"/>
        <w:rPr>
          <w:sz w:val="20"/>
          <w:szCs w:val="20"/>
          <w:color w:val="auto"/>
        </w:rPr>
      </w:pPr>
      <w:r>
        <w:rPr>
          <w:rFonts w:ascii="Arial" w:cs="Arial" w:eastAsia="Arial" w:hAnsi="Arial"/>
          <w:sz w:val="22"/>
          <w:szCs w:val="22"/>
          <w:color w:val="auto"/>
        </w:rPr>
        <w:t>the need for the restatement, and (3) a lower award would have been made to the Executive based upon the restated financial results. In each instance, the Company may seek to recover the Executive’s entire gain received by the Executive within the relevant period, plus a reasonable rate of interest.</w:t>
      </w:r>
    </w:p>
    <w:p>
      <w:pPr>
        <w:spacing w:after="0" w:line="153" w:lineRule="exact"/>
        <w:rPr>
          <w:sz w:val="20"/>
          <w:szCs w:val="20"/>
          <w:color w:val="auto"/>
        </w:rPr>
      </w:pPr>
    </w:p>
    <w:p>
      <w:pPr>
        <w:jc w:val="both"/>
        <w:ind w:firstLine="656"/>
        <w:spacing w:after="0" w:line="259" w:lineRule="auto"/>
        <w:tabs>
          <w:tab w:leader="none" w:pos="1346"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Exercise of Stock Options Following Termination. </w:t>
      </w:r>
      <w:r>
        <w:rPr>
          <w:rFonts w:ascii="Arial" w:cs="Arial" w:eastAsia="Arial" w:hAnsi="Arial"/>
          <w:sz w:val="19"/>
          <w:szCs w:val="19"/>
          <w:color w:val="auto"/>
        </w:rPr>
        <w:t>If the Executive's employment terminates, Executive (or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estate) may exercise the Executive's right to purchase any vested stock under the stock options granted to Executive by the Company as provided in the applicable stock option agreement or Company plan. All such purchases must be made by the Executive in accordance with the applicable stock option plans and agreements between the parties.</w:t>
      </w:r>
    </w:p>
    <w:p>
      <w:pPr>
        <w:spacing w:after="0" w:line="136" w:lineRule="exact"/>
        <w:rPr>
          <w:rFonts w:ascii="Arial" w:cs="Arial" w:eastAsia="Arial" w:hAnsi="Arial"/>
          <w:sz w:val="19"/>
          <w:szCs w:val="19"/>
          <w:color w:val="auto"/>
        </w:rPr>
      </w:pPr>
    </w:p>
    <w:p>
      <w:pPr>
        <w:jc w:val="both"/>
        <w:ind w:firstLine="656"/>
        <w:spacing w:after="0" w:line="250" w:lineRule="auto"/>
        <w:tabs>
          <w:tab w:leader="none" w:pos="1372"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Successors; Binding Agreement. </w:t>
      </w:r>
      <w:r>
        <w:rPr>
          <w:rFonts w:ascii="Arial" w:cs="Arial" w:eastAsia="Arial" w:hAnsi="Arial"/>
          <w:sz w:val="19"/>
          <w:szCs w:val="19"/>
          <w:color w:val="auto"/>
        </w:rPr>
        <w:t>This Agreement and all rights of the Executive hereunder shall inure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of and be enforceable by the Executive’s personal or legal representatives, executors, administrators, successors, heirs, distributees, devisees and legatees. If the Executive should die while any amounts would still be payable to the Executive hereunder, all such amounts shall be paid in accordance with the terms of this Agreement and applicable law to the Executive’s beneficiary pursuant to a valid written designation of beneficiary, as determined by the Compensation Committee in its discretion, or, if there is no effective written designation of beneficiary by the Executive, to the Executive’s estate.</w:t>
      </w:r>
    </w:p>
    <w:p>
      <w:pPr>
        <w:spacing w:after="0" w:line="146" w:lineRule="exact"/>
        <w:rPr>
          <w:rFonts w:ascii="Arial" w:cs="Arial" w:eastAsia="Arial" w:hAnsi="Arial"/>
          <w:sz w:val="19"/>
          <w:szCs w:val="19"/>
          <w:color w:val="auto"/>
        </w:rPr>
      </w:pPr>
    </w:p>
    <w:p>
      <w:pPr>
        <w:jc w:val="both"/>
        <w:ind w:firstLine="656"/>
        <w:spacing w:after="0" w:line="248" w:lineRule="auto"/>
        <w:tabs>
          <w:tab w:leader="none" w:pos="1359"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Insurance and Indemnity. </w:t>
      </w:r>
      <w:r>
        <w:rPr>
          <w:rFonts w:ascii="Arial" w:cs="Arial" w:eastAsia="Arial" w:hAnsi="Arial"/>
          <w:sz w:val="19"/>
          <w:szCs w:val="19"/>
          <w:color w:val="auto"/>
        </w:rPr>
        <w:t>The Company shall, to the extent permitted by law, include the Executive during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of Employment under any directors and officers’ liability insurance policy maintained for its directors and officers, with coverage at least as favorable to the Executive in amount and each other material respect as the coverage of other officers covered thereby. The Company’s obligation to provide insurance and indemnify the Executive shall survive expiration or termination of this Agreement with respect to proceedings or threatened proceedings based on acts or omissions of the Executive occurring during the Executive’s employment with the Company. Such obligations shall be binding upon the Company’s successors and assigns and shall inure to the benefit of the Executive’s heirs and personal representatives.</w:t>
      </w:r>
    </w:p>
    <w:p>
      <w:pPr>
        <w:spacing w:after="0" w:line="147" w:lineRule="exact"/>
        <w:rPr>
          <w:rFonts w:ascii="Arial" w:cs="Arial" w:eastAsia="Arial" w:hAnsi="Arial"/>
          <w:sz w:val="19"/>
          <w:szCs w:val="19"/>
          <w:color w:val="auto"/>
        </w:rPr>
      </w:pPr>
    </w:p>
    <w:p>
      <w:pPr>
        <w:jc w:val="both"/>
        <w:ind w:firstLine="656"/>
        <w:spacing w:after="0" w:line="236" w:lineRule="auto"/>
        <w:tabs>
          <w:tab w:leader="none" w:pos="1363" w:val="left"/>
        </w:tabs>
        <w:numPr>
          <w:ilvl w:val="0"/>
          <w:numId w:val="42"/>
        </w:numPr>
        <w:rPr>
          <w:rFonts w:ascii="Arial" w:cs="Arial" w:eastAsia="Arial" w:hAnsi="Arial"/>
          <w:sz w:val="21"/>
          <w:szCs w:val="21"/>
          <w:color w:val="auto"/>
        </w:rPr>
      </w:pPr>
      <w:r>
        <w:rPr>
          <w:rFonts w:ascii="Arial" w:cs="Arial" w:eastAsia="Arial" w:hAnsi="Arial"/>
          <w:sz w:val="21"/>
          <w:szCs w:val="21"/>
          <w:b w:val="1"/>
          <w:bCs w:val="1"/>
          <w:color w:val="auto"/>
        </w:rPr>
        <w:t xml:space="preserve">Notice. </w:t>
      </w:r>
      <w:r>
        <w:rPr>
          <w:rFonts w:ascii="Arial" w:cs="Arial" w:eastAsia="Arial" w:hAnsi="Arial"/>
          <w:sz w:val="21"/>
          <w:szCs w:val="21"/>
          <w:color w:val="auto"/>
        </w:rPr>
        <w:t>For the purposes of this Agreement, notices, demands and all other communications provided for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in writing and shall be deemed to have been duly given when delivered or (unless otherwise specified) mailed by United States registered mail, return receipt requested, postage prepaid, addressed as follows:</w:t>
      </w:r>
    </w:p>
    <w:p>
      <w:pPr>
        <w:spacing w:after="0" w:line="139" w:lineRule="exact"/>
        <w:rPr>
          <w:sz w:val="20"/>
          <w:szCs w:val="20"/>
          <w:color w:val="auto"/>
        </w:rPr>
      </w:pPr>
    </w:p>
    <w:p>
      <w:pPr>
        <w:ind w:left="880"/>
        <w:spacing w:after="0"/>
        <w:tabs>
          <w:tab w:leader="none" w:pos="2720" w:val="left"/>
        </w:tabs>
        <w:rPr>
          <w:sz w:val="20"/>
          <w:szCs w:val="20"/>
          <w:color w:val="auto"/>
        </w:rPr>
      </w:pPr>
      <w:r>
        <w:rPr>
          <w:rFonts w:ascii="Arial" w:cs="Arial" w:eastAsia="Arial" w:hAnsi="Arial"/>
          <w:sz w:val="22"/>
          <w:szCs w:val="22"/>
          <w:color w:val="auto"/>
        </w:rPr>
        <w:t>If to the Executive:</w:t>
      </w:r>
      <w:r>
        <w:rPr>
          <w:sz w:val="20"/>
          <w:szCs w:val="20"/>
          <w:color w:val="auto"/>
        </w:rPr>
        <w:tab/>
      </w:r>
      <w:r>
        <w:rPr>
          <w:rFonts w:ascii="Arial" w:cs="Arial" w:eastAsia="Arial" w:hAnsi="Arial"/>
          <w:sz w:val="19"/>
          <w:szCs w:val="19"/>
          <w:color w:val="auto"/>
        </w:rPr>
        <w:t>Barbara Rentler</w:t>
      </w:r>
    </w:p>
    <w:p>
      <w:pPr>
        <w:ind w:left="3260"/>
        <w:spacing w:after="0" w:line="204" w:lineRule="auto"/>
        <w:rPr>
          <w:sz w:val="20"/>
          <w:szCs w:val="20"/>
          <w:color w:val="auto"/>
        </w:rPr>
      </w:pPr>
      <w:r>
        <w:rPr>
          <w:rFonts w:ascii="Arial" w:cs="Arial" w:eastAsia="Arial" w:hAnsi="Arial"/>
          <w:sz w:val="22"/>
          <w:szCs w:val="22"/>
          <w:color w:val="auto"/>
        </w:rPr>
        <w:t>Ross Stores, Inc.</w:t>
      </w:r>
    </w:p>
    <w:p>
      <w:pPr>
        <w:ind w:left="3240"/>
        <w:spacing w:after="0" w:line="205" w:lineRule="auto"/>
        <w:rPr>
          <w:sz w:val="20"/>
          <w:szCs w:val="20"/>
          <w:color w:val="auto"/>
        </w:rPr>
      </w:pPr>
      <w:r>
        <w:rPr>
          <w:rFonts w:ascii="Arial" w:cs="Arial" w:eastAsia="Arial" w:hAnsi="Arial"/>
          <w:sz w:val="22"/>
          <w:szCs w:val="22"/>
          <w:color w:val="auto"/>
        </w:rPr>
        <w:t>1372 Broadway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New York, NY 10018</w:t>
      </w:r>
    </w:p>
    <w:p>
      <w:pPr>
        <w:spacing w:after="0" w:line="169" w:lineRule="exact"/>
        <w:rPr>
          <w:sz w:val="20"/>
          <w:szCs w:val="20"/>
          <w:color w:val="auto"/>
        </w:rPr>
      </w:pPr>
    </w:p>
    <w:p>
      <w:pPr>
        <w:ind w:left="880"/>
        <w:spacing w:after="0"/>
        <w:tabs>
          <w:tab w:leader="none" w:pos="270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Ross Stores, Inc.</w:t>
      </w:r>
    </w:p>
    <w:p>
      <w:pPr>
        <w:ind w:left="2380"/>
        <w:spacing w:after="0" w:line="204" w:lineRule="auto"/>
        <w:rPr>
          <w:sz w:val="20"/>
          <w:szCs w:val="20"/>
          <w:color w:val="auto"/>
        </w:rPr>
      </w:pPr>
      <w:r>
        <w:rPr>
          <w:rFonts w:ascii="Arial" w:cs="Arial" w:eastAsia="Arial" w:hAnsi="Arial"/>
          <w:sz w:val="22"/>
          <w:szCs w:val="22"/>
          <w:color w:val="auto"/>
        </w:rPr>
        <w:t>5130 Hacienda Drive</w:t>
      </w:r>
    </w:p>
    <w:p>
      <w:pPr>
        <w:ind w:left="2380"/>
        <w:spacing w:after="0" w:line="205" w:lineRule="auto"/>
        <w:rPr>
          <w:sz w:val="20"/>
          <w:szCs w:val="20"/>
          <w:color w:val="auto"/>
        </w:rPr>
      </w:pPr>
      <w:r>
        <w:rPr>
          <w:rFonts w:ascii="Arial" w:cs="Arial" w:eastAsia="Arial" w:hAnsi="Arial"/>
          <w:sz w:val="22"/>
          <w:szCs w:val="22"/>
          <w:color w:val="auto"/>
        </w:rPr>
        <w:t>Dublin, CA 94568-7579</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or to such other address as any party may have furnished to the other in writing in accordance herewith, except that notices of change of address shall be effective only upon receipt.</w:t>
      </w:r>
    </w:p>
    <w:p>
      <w:pPr>
        <w:spacing w:after="0" w:line="153" w:lineRule="exact"/>
        <w:rPr>
          <w:sz w:val="20"/>
          <w:szCs w:val="20"/>
          <w:color w:val="auto"/>
        </w:rPr>
      </w:pPr>
    </w:p>
    <w:p>
      <w:pPr>
        <w:ind w:firstLine="656"/>
        <w:spacing w:after="0" w:line="235" w:lineRule="auto"/>
        <w:tabs>
          <w:tab w:leader="none" w:pos="1453"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 xml:space="preserve">Complete Agreement; Modification, Waiver; Entire Agreement. </w:t>
      </w:r>
      <w:r>
        <w:rPr>
          <w:rFonts w:ascii="Arial" w:cs="Arial" w:eastAsia="Arial" w:hAnsi="Arial"/>
          <w:sz w:val="22"/>
          <w:szCs w:val="22"/>
          <w:color w:val="auto"/>
        </w:rPr>
        <w:t>This Agreement, along with any</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and benefits summary, stock option,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45" w:name="page46"/>
    <w:bookmarkEnd w:id="45"/>
    <w:p>
      <w:pPr>
        <w:jc w:val="both"/>
        <w:spacing w:after="0" w:line="241" w:lineRule="auto"/>
        <w:rPr>
          <w:sz w:val="20"/>
          <w:szCs w:val="20"/>
          <w:color w:val="auto"/>
        </w:rPr>
      </w:pPr>
      <w:r>
        <w:rPr>
          <w:rFonts w:ascii="Arial" w:cs="Arial" w:eastAsia="Arial" w:hAnsi="Arial"/>
          <w:sz w:val="19"/>
          <w:szCs w:val="19"/>
          <w:color w:val="auto"/>
        </w:rPr>
        <w:t>performance share, or other equity compensation award agreements between the parties, represents the complete agreement of the parties with respect to the subject matter hereof and supersedes all prior and contemporaneous agreements, promises or representations of the parties, including any prior employment agreement or similar agreement between the parties, except those relating to repayment of signing and related bonuses, or relocation expense reimbursements. To the extent that the bonus payment provisions (i.e., post-termination bonus payments) provided in this Agreement differ from the provisions of the Company’s incentive bonus plans (currently the Incentive Compensation Plan) or any replacement plans, such bonus payments shall be paid pursuant to the provisions of this Agreement except to the extent expressly prohibited by law. Except as provided by Section 22 [Compliance with Section 409A], no provision of this Agreement may be amended or modified except in a document signed by the Executive and such person as may be designated by the Company. No waiver by the Executive or the Company of any breach of, or lack of compliance with, any condition or provision of this Agreement by the other party shall be considered a waiver of any other condition or provision or the same condition or provision at another time. To the extent that this Agreement is in any way deemed to be inconsistent with any prior or contemporaneous compensation and benefits summary, stock option, restricted stock, performance share, or other equity compensation award agreements between the parties, or term sheet referencing such specific awards, the terms of this Agreement shall control. No agreements or representations, oral or otherwise, with respect to the subject matter hereof have been made by either party which are not set forth expressly in this Agreement. This Agreement shall be modified to comply with any federal securities law or rule or any NASDAQ listing rule adopted to comply therewith.</w:t>
      </w:r>
    </w:p>
    <w:p>
      <w:pPr>
        <w:spacing w:after="0" w:line="156" w:lineRule="exact"/>
        <w:rPr>
          <w:sz w:val="20"/>
          <w:szCs w:val="20"/>
          <w:color w:val="auto"/>
        </w:rPr>
      </w:pPr>
    </w:p>
    <w:p>
      <w:pPr>
        <w:jc w:val="both"/>
        <w:ind w:firstLine="656"/>
        <w:spacing w:after="0" w:line="222" w:lineRule="auto"/>
        <w:tabs>
          <w:tab w:leader="none" w:pos="1367" w:val="left"/>
        </w:tabs>
        <w:numPr>
          <w:ilvl w:val="0"/>
          <w:numId w:val="44"/>
        </w:numPr>
        <w:rPr>
          <w:rFonts w:ascii="Arial" w:cs="Arial" w:eastAsia="Arial" w:hAnsi="Arial"/>
          <w:sz w:val="21"/>
          <w:szCs w:val="21"/>
          <w:color w:val="auto"/>
        </w:rPr>
      </w:pPr>
      <w:r>
        <w:rPr>
          <w:rFonts w:ascii="Arial" w:cs="Arial" w:eastAsia="Arial" w:hAnsi="Arial"/>
          <w:sz w:val="21"/>
          <w:szCs w:val="21"/>
          <w:b w:val="1"/>
          <w:bCs w:val="1"/>
          <w:color w:val="auto"/>
        </w:rPr>
        <w:t xml:space="preserve">Governing Law - Severability. </w:t>
      </w:r>
      <w:r>
        <w:rPr>
          <w:rFonts w:ascii="Arial" w:cs="Arial" w:eastAsia="Arial" w:hAnsi="Arial"/>
          <w:sz w:val="21"/>
          <w:szCs w:val="21"/>
          <w:color w:val="auto"/>
        </w:rPr>
        <w:t>The validity, interpretation, construction, performance, and enforcement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governed by the laws of the state in which the Executive’s principal place of employment described in Section 3 is located without reference to that state’s choice of law rules. If any provision of this Agreement shall be held or deemed to be invalid, illegal, or unenforceable in any jurisdiction, for any reason, the invalidity of that provision shall not have the effect of rendering the provision in question unenforceable in any other jurisdiction or in any other case or of rendering any other provisions herein unenforceable, but the invalid provision shall be substituted with a valid provision which most closely approximates the intent and the economic effect of the invalid provision and which would be enforceable to the maximum extent permitted in such jurisdiction or in such case.</w:t>
      </w:r>
    </w:p>
    <w:p>
      <w:pPr>
        <w:spacing w:after="0" w:line="157" w:lineRule="exact"/>
        <w:rPr>
          <w:rFonts w:ascii="Arial" w:cs="Arial" w:eastAsia="Arial" w:hAnsi="Arial"/>
          <w:sz w:val="21"/>
          <w:szCs w:val="21"/>
          <w:color w:val="auto"/>
        </w:rPr>
      </w:pPr>
    </w:p>
    <w:p>
      <w:pPr>
        <w:jc w:val="both"/>
        <w:ind w:firstLine="656"/>
        <w:spacing w:after="0" w:line="243" w:lineRule="auto"/>
        <w:tabs>
          <w:tab w:leader="none" w:pos="1350"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 xml:space="preserve">Mitigation. </w:t>
      </w:r>
      <w:r>
        <w:rPr>
          <w:rFonts w:ascii="Arial" w:cs="Arial" w:eastAsia="Arial" w:hAnsi="Arial"/>
          <w:sz w:val="19"/>
          <w:szCs w:val="19"/>
          <w:color w:val="auto"/>
        </w:rPr>
        <w:t>In the event the Executive’s employment with the Company terminates for any reason, the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obligated to seek other employment following such termination. However, any amounts due the Executive under Sections 8(a)(i), 8(a)(ii), 8(a)(vii), 8(d)(i)(a), 8(d)(i)(b), 8(d)(i)(d) or 8(d)(i)(e) (collectively, “</w:t>
      </w:r>
      <w:r>
        <w:rPr>
          <w:rFonts w:ascii="Arial" w:cs="Arial" w:eastAsia="Arial" w:hAnsi="Arial"/>
          <w:sz w:val="19"/>
          <w:szCs w:val="19"/>
          <w:u w:val="single" w:color="auto"/>
          <w:color w:val="auto"/>
        </w:rPr>
        <w:t>Mitigable Severance</w:t>
      </w:r>
      <w:r>
        <w:rPr>
          <w:rFonts w:ascii="Arial" w:cs="Arial" w:eastAsia="Arial" w:hAnsi="Arial"/>
          <w:sz w:val="19"/>
          <w:szCs w:val="19"/>
          <w:color w:val="auto"/>
        </w:rPr>
        <w:t>”) shall be offset by any cash remuneration, health care coverage and/or estate planning reimbursements (collectively, “</w:t>
      </w:r>
      <w:r>
        <w:rPr>
          <w:rFonts w:ascii="Arial" w:cs="Arial" w:eastAsia="Arial" w:hAnsi="Arial"/>
          <w:sz w:val="19"/>
          <w:szCs w:val="19"/>
          <w:u w:val="single" w:color="auto"/>
          <w:color w:val="auto"/>
        </w:rPr>
        <w:t>Mitigable</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Compensation</w:t>
      </w:r>
      <w:r>
        <w:rPr>
          <w:rFonts w:ascii="Arial" w:cs="Arial" w:eastAsia="Arial" w:hAnsi="Arial"/>
          <w:sz w:val="19"/>
          <w:szCs w:val="19"/>
          <w:color w:val="auto"/>
        </w:rPr>
        <w:t>”) attributable to any subsequent employment or consulting/independent contractor arrangement that the Executive may obtain during the period of payment of compensation under this Agreement following the termination of the Executive’s employment with the Company. For any calendar quarter, the Executive shall not be entitled to any Mitigable Severance unless the Executive certifies in writing to the Company on or before the first day of any such calendar quarter the amount and nature of Mitigable Compensation the Executive expects to receive during such quarter. In addition, the Executive must notify the Company within five business days of any increase in the amount and/or nature of Mitigable Compensation not previously reported in the most recent quarterly certification. The Executive shall repay to the Company any Mitigable Severance the Executive received in error within ten days of the receipt of such Mitigable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46" w:name="page47"/>
    <w:bookmarkEnd w:id="46"/>
    <w:p>
      <w:pPr>
        <w:jc w:val="both"/>
        <w:ind w:firstLine="656"/>
        <w:spacing w:after="0" w:line="250" w:lineRule="auto"/>
        <w:tabs>
          <w:tab w:leader="none" w:pos="1350"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Withholding. </w:t>
      </w:r>
      <w:r>
        <w:rPr>
          <w:rFonts w:ascii="Arial" w:cs="Arial" w:eastAsia="Arial" w:hAnsi="Arial"/>
          <w:sz w:val="19"/>
          <w:szCs w:val="19"/>
          <w:color w:val="auto"/>
        </w:rPr>
        <w:t>All payments required to be made by the Company hereunder to the Executive or the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estate or beneficiaries shall be subject to the withholding of such amounts as the Company may reasonably determine it should withhold pursuant to any applicable law. To the extent permitted, the Executive may provide all or any part of any necessary withholding by contributing Company stock with value, determined on the date such withholding is due, equal to the number of shares contributed multiplied by the closing price per share as reported on the securities exchange constituting the primary market for the Company’s stock on the date preceding the date the withholding is determined.</w:t>
      </w:r>
    </w:p>
    <w:p>
      <w:pPr>
        <w:spacing w:after="0" w:line="146" w:lineRule="exact"/>
        <w:rPr>
          <w:rFonts w:ascii="Arial" w:cs="Arial" w:eastAsia="Arial" w:hAnsi="Arial"/>
          <w:sz w:val="19"/>
          <w:szCs w:val="19"/>
          <w:color w:val="auto"/>
        </w:rPr>
      </w:pPr>
    </w:p>
    <w:p>
      <w:pPr>
        <w:jc w:val="both"/>
        <w:ind w:firstLine="656"/>
        <w:spacing w:after="0" w:line="242" w:lineRule="auto"/>
        <w:tabs>
          <w:tab w:leader="none" w:pos="1390"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Arbitration. </w:t>
      </w:r>
      <w:r>
        <w:rPr>
          <w:rFonts w:ascii="Arial" w:cs="Arial" w:eastAsia="Arial" w:hAnsi="Arial"/>
          <w:sz w:val="19"/>
          <w:szCs w:val="19"/>
          <w:color w:val="auto"/>
        </w:rPr>
        <w:t>Except as otherwise provided by applicable law, the Company and Executive shall resolve all</w:t>
      </w:r>
      <w:r>
        <w:rPr>
          <w:rFonts w:ascii="Arial" w:cs="Arial" w:eastAsia="Arial" w:hAnsi="Arial"/>
          <w:sz w:val="19"/>
          <w:szCs w:val="19"/>
          <w:b w:val="1"/>
          <w:bCs w:val="1"/>
          <w:color w:val="auto"/>
        </w:rPr>
        <w:t xml:space="preserve"> </w:t>
      </w:r>
      <w:r>
        <w:rPr>
          <w:rFonts w:ascii="Arial" w:cs="Arial" w:eastAsia="Arial" w:hAnsi="Arial"/>
          <w:sz w:val="19"/>
          <w:szCs w:val="19"/>
          <w:color w:val="auto"/>
        </w:rPr>
        <w:t>disputes or claims relating to or arising out of the parties' employment relationship or this Agreement (including, but not limited to, any claims of breach of contract, wrongful termination, discrimination, harassment, retaliation, failure to accommodate, or wage and hour violations), pursuant to the Federal Arbitration Act and, as applicable, in accordance with the Company's then-current Dispute Resolution Agreement ("</w:t>
      </w:r>
      <w:r>
        <w:rPr>
          <w:rFonts w:ascii="Arial" w:cs="Arial" w:eastAsia="Arial" w:hAnsi="Arial"/>
          <w:sz w:val="19"/>
          <w:szCs w:val="19"/>
          <w:u w:val="single" w:color="auto"/>
          <w:color w:val="auto"/>
        </w:rPr>
        <w:t>Arbitration Agreement</w:t>
      </w:r>
      <w:r>
        <w:rPr>
          <w:rFonts w:ascii="Arial" w:cs="Arial" w:eastAsia="Arial" w:hAnsi="Arial"/>
          <w:sz w:val="19"/>
          <w:szCs w:val="19"/>
          <w:color w:val="auto"/>
        </w:rPr>
        <w:t>"). The Executive and the Company hereby mutually agree that all such disputes shall be fully, finally, and exclusively resolved by binding arbitration in the city in which the Executive’s principal place of employment is located. Notwithstanding the Arbitration Agreement, arbitration shall be conducted by JAMS arbitration services pursuant to its Employment Arbitration Rules and Procedures (“JAMS Arbitration Rules”) by an arbitrator mutually agreed upon by the parties hereto or, in the absence of such agreement, by an arbitrator selected in accordance with JAMS’ then-current Arbitration Rules. To the extent permitted by law, the Company and Executive agree that each may file claims against the other only in their individual capacities, and may not file claims as a named plaintiff, or participate as a class member, in any class or collective action against the other. Nothing in this arbitration provision or the Arbitration Agreement shall prevent either the Executive or the Company from seeking interim or temporary injunctive or equitable relief from a court of competent jurisdiction pending arbitration. This provision fully incorporates the Arbitration Agreement provided, however, that in the event of any conflict between this provision and the Arbitration Agreement, this provision shall govern.</w:t>
      </w:r>
    </w:p>
    <w:p>
      <w:pPr>
        <w:spacing w:after="0" w:line="157"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2"/>
          <w:szCs w:val="22"/>
          <w:color w:val="auto"/>
        </w:rPr>
        <w:t>If there is termination of the Executive’s employment with the Company followed by a dispute as to whether the Executive is entitled to the benefits provided under this Agreement, then, during the period of that dispute the Company shall pay the Executive 50% of the amount specified in Section 8 hereof (except that the Company shall pay 100% of any insurance premiums provided for in Section 8), if, and only if, the Executive agrees in writing that if the dispute is resolved against the Executive, the Executive shall promptly refund to the Company all such payments received by, or made by the Company on behalf of, the Executive. If the dispute is resolved in the Executive’s favor, promptly after resolution of the dispute the Company shall pay the Executive the sum that was withheld during the period of the dispute plus interest at the rate provided in Section 1274(d) of the Code.</w:t>
      </w:r>
    </w:p>
    <w:p>
      <w:pPr>
        <w:spacing w:after="0" w:line="159" w:lineRule="exact"/>
        <w:rPr>
          <w:sz w:val="20"/>
          <w:szCs w:val="20"/>
          <w:color w:val="auto"/>
        </w:rPr>
      </w:pPr>
    </w:p>
    <w:p>
      <w:pPr>
        <w:ind w:firstLine="656"/>
        <w:spacing w:after="0" w:line="235" w:lineRule="auto"/>
        <w:tabs>
          <w:tab w:leader="none" w:pos="1377"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Attorney’s Fees. </w:t>
      </w:r>
      <w:r>
        <w:rPr>
          <w:rFonts w:ascii="Arial" w:cs="Arial" w:eastAsia="Arial" w:hAnsi="Arial"/>
          <w:sz w:val="22"/>
          <w:szCs w:val="22"/>
          <w:color w:val="auto"/>
        </w:rPr>
        <w:t>Except as otherwise provided herein, each party shall bear its own attorney’s fees and costs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in any action or dispute arising out of this Agreement.</w:t>
      </w:r>
    </w:p>
    <w:p>
      <w:pPr>
        <w:spacing w:after="0" w:line="152" w:lineRule="exact"/>
        <w:rPr>
          <w:rFonts w:ascii="Arial" w:cs="Arial" w:eastAsia="Arial" w:hAnsi="Arial"/>
          <w:sz w:val="22"/>
          <w:szCs w:val="22"/>
          <w:color w:val="auto"/>
        </w:rPr>
      </w:pPr>
    </w:p>
    <w:p>
      <w:pPr>
        <w:jc w:val="both"/>
        <w:ind w:firstLine="656"/>
        <w:spacing w:after="0" w:line="254" w:lineRule="auto"/>
        <w:tabs>
          <w:tab w:leader="none" w:pos="1384"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No right or interest to, or in, any payments shall be assignable by the Executive;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however, that the Executive shall not be precluded from designating in writing one or more beneficiaries to receive any amount that may be payable after the Executive’s death and the legal representative of the Executive’s estate shall not be precluded from assigning any right hereunder to the person or persons entitled thereto. This Agreement shall be binding upon and shall inure to the benefit of the Executive, the Executive’s heirs and legal representatives and, the Company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395" w:right="339" w:bottom="1440" w:gutter="0" w:footer="0" w:header="0"/>
        </w:sectPr>
      </w:pPr>
    </w:p>
    <w:bookmarkStart w:id="47" w:name="page48"/>
    <w:bookmarkEnd w:id="47"/>
    <w:p>
      <w:pPr>
        <w:jc w:val="both"/>
        <w:ind w:firstLine="656"/>
        <w:spacing w:after="0" w:line="250" w:lineRule="auto"/>
        <w:tabs>
          <w:tab w:leader="none" w:pos="1380"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Compliance with Section 409A. </w:t>
      </w:r>
      <w:r>
        <w:rPr>
          <w:rFonts w:ascii="Arial" w:cs="Arial" w:eastAsia="Arial" w:hAnsi="Arial"/>
          <w:sz w:val="19"/>
          <w:szCs w:val="19"/>
          <w:color w:val="auto"/>
        </w:rPr>
        <w:t>Notwithstanding any other provision of this Agreement to the contrary,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time and manner of payment or distribution of all compensation and benefits provided by this Agreement that constitute nonqualified deferred compensation subject to and not exempted from the requirements of Code Section 409A (“</w:t>
      </w:r>
      <w:r>
        <w:rPr>
          <w:rFonts w:ascii="Arial" w:cs="Arial" w:eastAsia="Arial" w:hAnsi="Arial"/>
          <w:sz w:val="19"/>
          <w:szCs w:val="19"/>
          <w:u w:val="single" w:color="auto"/>
          <w:color w:val="auto"/>
        </w:rPr>
        <w:t>Section 409A Deferred Compensation</w:t>
      </w:r>
      <w:r>
        <w:rPr>
          <w:rFonts w:ascii="Arial" w:cs="Arial" w:eastAsia="Arial" w:hAnsi="Arial"/>
          <w:sz w:val="19"/>
          <w:szCs w:val="19"/>
          <w:color w:val="auto"/>
        </w:rPr>
        <w:t>”) shall be subject to, limited by and construed in accordance with the requirements of Code Section 409A and all regulations and other guidance promulgated by the Secretary of the Treasury pursuant to such Section (such Section, regulations and other guidance being referred to herein as “</w:t>
      </w:r>
      <w:r>
        <w:rPr>
          <w:rFonts w:ascii="Arial" w:cs="Arial" w:eastAsia="Arial" w:hAnsi="Arial"/>
          <w:sz w:val="19"/>
          <w:szCs w:val="19"/>
          <w:u w:val="single" w:color="auto"/>
          <w:color w:val="auto"/>
        </w:rPr>
        <w:t>Section 409A</w:t>
      </w:r>
      <w:r>
        <w:rPr>
          <w:rFonts w:ascii="Arial" w:cs="Arial" w:eastAsia="Arial" w:hAnsi="Arial"/>
          <w:sz w:val="19"/>
          <w:szCs w:val="19"/>
          <w:color w:val="auto"/>
        </w:rPr>
        <w:t>”), including the following:</w:t>
      </w:r>
    </w:p>
    <w:p>
      <w:pPr>
        <w:spacing w:after="0" w:line="146" w:lineRule="exact"/>
        <w:rPr>
          <w:rFonts w:ascii="Arial" w:cs="Arial" w:eastAsia="Arial" w:hAnsi="Arial"/>
          <w:sz w:val="19"/>
          <w:szCs w:val="19"/>
          <w:color w:val="auto"/>
        </w:rPr>
      </w:pPr>
    </w:p>
    <w:p>
      <w:pPr>
        <w:jc w:val="both"/>
        <w:ind w:firstLine="1304"/>
        <w:spacing w:after="0" w:line="217" w:lineRule="auto"/>
        <w:tabs>
          <w:tab w:leader="none" w:pos="1941" w:val="left"/>
        </w:tabs>
        <w:numPr>
          <w:ilvl w:val="1"/>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Separation from Service. </w:t>
      </w:r>
      <w:r>
        <w:rPr>
          <w:rFonts w:ascii="Arial" w:cs="Arial" w:eastAsia="Arial" w:hAnsi="Arial"/>
          <w:sz w:val="22"/>
          <w:szCs w:val="22"/>
          <w:color w:val="auto"/>
        </w:rPr>
        <w:t>Payments and benefits constituting Section 409A Deferred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payable or provided pursuant to Section 8 upon the Executive’s termination of employment shall be paid or provided only at the time of a termination of the Executive’s employment that constitutes a Separation from Service. For the purposes of this Agreement, a “</w:t>
      </w:r>
      <w:r>
        <w:rPr>
          <w:rFonts w:ascii="Arial" w:cs="Arial" w:eastAsia="Arial" w:hAnsi="Arial"/>
          <w:sz w:val="22"/>
          <w:szCs w:val="22"/>
          <w:u w:val="single" w:color="auto"/>
          <w:color w:val="auto"/>
        </w:rPr>
        <w:t>Separation from Service</w:t>
      </w:r>
      <w:r>
        <w:rPr>
          <w:rFonts w:ascii="Arial" w:cs="Arial" w:eastAsia="Arial" w:hAnsi="Arial"/>
          <w:sz w:val="22"/>
          <w:szCs w:val="22"/>
          <w:color w:val="auto"/>
        </w:rPr>
        <w:t>” is a separation from service within the meaning of Treasury Regulation Section 1.409A-1(h).</w:t>
      </w:r>
    </w:p>
    <w:p>
      <w:pPr>
        <w:spacing w:after="0" w:line="152" w:lineRule="exact"/>
        <w:rPr>
          <w:rFonts w:ascii="Arial" w:cs="Arial" w:eastAsia="Arial" w:hAnsi="Arial"/>
          <w:sz w:val="22"/>
          <w:szCs w:val="22"/>
          <w:color w:val="auto"/>
        </w:rPr>
      </w:pPr>
    </w:p>
    <w:p>
      <w:pPr>
        <w:jc w:val="both"/>
        <w:ind w:firstLine="1304"/>
        <w:spacing w:after="0" w:line="246" w:lineRule="auto"/>
        <w:tabs>
          <w:tab w:leader="none" w:pos="1939" w:val="left"/>
        </w:tabs>
        <w:numPr>
          <w:ilvl w:val="1"/>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Six-Month Delay Applicable to Specified Employees. </w:t>
      </w:r>
      <w:r>
        <w:rPr>
          <w:rFonts w:ascii="Arial" w:cs="Arial" w:eastAsia="Arial" w:hAnsi="Arial"/>
          <w:sz w:val="19"/>
          <w:szCs w:val="19"/>
          <w:color w:val="auto"/>
        </w:rPr>
        <w:t>If, at the time of a Separation from Service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the Executive is a “specified employee” within the meaning of Section 409A(a)(2)(B)(i) (a “</w:t>
      </w:r>
      <w:r>
        <w:rPr>
          <w:rFonts w:ascii="Arial" w:cs="Arial" w:eastAsia="Arial" w:hAnsi="Arial"/>
          <w:sz w:val="19"/>
          <w:szCs w:val="19"/>
          <w:u w:val="single" w:color="auto"/>
          <w:color w:val="auto"/>
        </w:rPr>
        <w:t>Specified Employee</w:t>
      </w:r>
      <w:r>
        <w:rPr>
          <w:rFonts w:ascii="Arial" w:cs="Arial" w:eastAsia="Arial" w:hAnsi="Arial"/>
          <w:sz w:val="19"/>
          <w:szCs w:val="19"/>
          <w:color w:val="auto"/>
        </w:rPr>
        <w:t>”), then any payments and benefits constituting Section 409A Deferred Compensation to be paid or provided pursuant to Section 8 upon the Separation from Service of the Executive shall be paid or provided commencing on the later of (i) the date that is six months after the date of such Separation from Service or, if earlier, the date of death of the Executive (in either case, the “</w:t>
      </w:r>
      <w:r>
        <w:rPr>
          <w:rFonts w:ascii="Arial" w:cs="Arial" w:eastAsia="Arial" w:hAnsi="Arial"/>
          <w:sz w:val="19"/>
          <w:szCs w:val="19"/>
          <w:u w:val="single" w:color="auto"/>
          <w:color w:val="auto"/>
        </w:rPr>
        <w:t>Delayed Payment Date</w:t>
      </w:r>
      <w:r>
        <w:rPr>
          <w:rFonts w:ascii="Arial" w:cs="Arial" w:eastAsia="Arial" w:hAnsi="Arial"/>
          <w:sz w:val="19"/>
          <w:szCs w:val="19"/>
          <w:color w:val="auto"/>
        </w:rPr>
        <w:t>”), or (ii) the date or dates on which such Section 409A Deferred Compensation would otherwise be paid or provided in accordance with Section 8. All such amounts that would, but for this Section 22(b), become payable prior to the Delayed Payment Date shall be accumulated and paid on the Delayed Payment Date.</w:t>
      </w:r>
    </w:p>
    <w:p>
      <w:pPr>
        <w:spacing w:after="0" w:line="152" w:lineRule="exact"/>
        <w:rPr>
          <w:rFonts w:ascii="Arial" w:cs="Arial" w:eastAsia="Arial" w:hAnsi="Arial"/>
          <w:sz w:val="19"/>
          <w:szCs w:val="19"/>
          <w:color w:val="auto"/>
        </w:rPr>
      </w:pPr>
    </w:p>
    <w:p>
      <w:pPr>
        <w:jc w:val="both"/>
        <w:ind w:firstLine="1304"/>
        <w:spacing w:after="0" w:line="242" w:lineRule="auto"/>
        <w:tabs>
          <w:tab w:leader="none" w:pos="1941" w:val="left"/>
        </w:tabs>
        <w:numPr>
          <w:ilvl w:val="1"/>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Health Care and Estate Planning Benefits. </w:t>
      </w:r>
      <w:r>
        <w:rPr>
          <w:rFonts w:ascii="Arial" w:cs="Arial" w:eastAsia="Arial" w:hAnsi="Arial"/>
          <w:sz w:val="19"/>
          <w:szCs w:val="19"/>
          <w:color w:val="auto"/>
        </w:rPr>
        <w:t>In the event that all or any of the health care or estate</w:t>
      </w:r>
      <w:r>
        <w:rPr>
          <w:rFonts w:ascii="Arial" w:cs="Arial" w:eastAsia="Arial" w:hAnsi="Arial"/>
          <w:sz w:val="19"/>
          <w:szCs w:val="19"/>
          <w:b w:val="1"/>
          <w:bCs w:val="1"/>
          <w:color w:val="auto"/>
        </w:rPr>
        <w:t xml:space="preserve"> </w:t>
      </w:r>
      <w:r>
        <w:rPr>
          <w:rFonts w:ascii="Arial" w:cs="Arial" w:eastAsia="Arial" w:hAnsi="Arial"/>
          <w:sz w:val="19"/>
          <w:szCs w:val="19"/>
          <w:color w:val="auto"/>
        </w:rPr>
        <w:t>planning benefits to be provided pursuant to Sections 8(a)(vii); 8(d)(i)(d) or 8(d)(i)(e) as a result of a Participant’s Separation from Service constitute Section 409A Deferred Compensation, the Company shall provide for such benefits constituting Section 409A Deferred Compensation in a manner that complies with Section 409A. To the extent necessary to comply with Section 409A, the Company shall determine the health care premium cost necessary to provide such benefits constituting Section 409A Deferred Compensation for the applicable coverage period and shall pay such premium cost which becomes due and payable during the applicable coverage period on the applicable due date for such premiums; provided, however, that if the Executive is a Specified Employee, the Company shall not pay any such premium cost until the Delayed Payment Date. If the Company’s payment pursuant to the previous sentence is subject to a Delayed Payment Date, the Executive shall pay the premium cost otherwise payable by the Company prior to the Delayed Payment Date, and on the Delayed Payment Date the Company shall reimburse the Executive for such Company premium cost paid by the Executive and shall pay the balance of the Company’s premium cost necessary to provide such benefit coverage for the remainder of the applicable coverage period as and when it becomes due and payable over the applicable period.</w:t>
      </w:r>
    </w:p>
    <w:p>
      <w:pPr>
        <w:spacing w:after="0" w:line="380" w:lineRule="exact"/>
        <w:rPr>
          <w:rFonts w:ascii="Arial" w:cs="Arial" w:eastAsia="Arial" w:hAnsi="Arial"/>
          <w:sz w:val="19"/>
          <w:szCs w:val="19"/>
          <w:color w:val="auto"/>
        </w:rPr>
      </w:pPr>
    </w:p>
    <w:p>
      <w:pPr>
        <w:ind w:right="220" w:firstLine="1304"/>
        <w:spacing w:after="0" w:line="259" w:lineRule="auto"/>
        <w:tabs>
          <w:tab w:leader="none" w:pos="1939" w:val="left"/>
        </w:tabs>
        <w:numPr>
          <w:ilvl w:val="1"/>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Stock-Based Awards. </w:t>
      </w:r>
      <w:r>
        <w:rPr>
          <w:rFonts w:ascii="Arial" w:cs="Arial" w:eastAsia="Arial" w:hAnsi="Arial"/>
          <w:sz w:val="19"/>
          <w:szCs w:val="19"/>
          <w:color w:val="auto"/>
        </w:rPr>
        <w:t>The vesting of any stock-based compensation awards which constitute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409A Deferred Compensation and are held by the Executive, if the Executive is a Specified Employee, shall be accelerated in accordance with this Agreement to the extent applicable; provided, however, that the payment in settlement of any such awards shall occur on the Delayed Payment Date. Any stock based compensation which vests and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395" w:right="339"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payable upon a Change in Control in accordance with Section 8(d) shall not be subject to this Section 22(d).</w:t>
      </w:r>
    </w:p>
    <w:p>
      <w:pPr>
        <w:spacing w:after="0" w:line="173" w:lineRule="exact"/>
        <w:rPr>
          <w:sz w:val="20"/>
          <w:szCs w:val="20"/>
          <w:color w:val="auto"/>
        </w:rPr>
      </w:pPr>
    </w:p>
    <w:p>
      <w:pPr>
        <w:ind w:right="40" w:firstLine="1304"/>
        <w:spacing w:after="0" w:line="217" w:lineRule="auto"/>
        <w:tabs>
          <w:tab w:leader="none" w:pos="1941"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Notwithstanding any provision of this Agreement to the contrary,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any amount constituting Section 409A Deferred Compensation would become payable under this Agreement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w:t>
      </w:r>
    </w:p>
    <w:p>
      <w:pPr>
        <w:spacing w:after="0" w:line="152" w:lineRule="exact"/>
        <w:rPr>
          <w:rFonts w:ascii="Arial" w:cs="Arial" w:eastAsia="Arial" w:hAnsi="Arial"/>
          <w:sz w:val="22"/>
          <w:szCs w:val="22"/>
          <w:color w:val="auto"/>
        </w:rPr>
      </w:pPr>
    </w:p>
    <w:p>
      <w:pPr>
        <w:jc w:val="both"/>
        <w:ind w:firstLine="1304"/>
        <w:spacing w:after="0" w:line="225" w:lineRule="auto"/>
        <w:tabs>
          <w:tab w:leader="none" w:pos="1944"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Installments. </w:t>
      </w:r>
      <w:r>
        <w:rPr>
          <w:rFonts w:ascii="Arial" w:cs="Arial" w:eastAsia="Arial" w:hAnsi="Arial"/>
          <w:sz w:val="22"/>
          <w:szCs w:val="22"/>
          <w:color w:val="auto"/>
        </w:rPr>
        <w:t>Executive’s right to receive any installment payments payable hereunder shall be treated as a</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receive a series of separate payments and, accordingly, each such installment payment shall at all times be considered a separate and distinct payment for purposes of Section 409A.</w:t>
      </w:r>
    </w:p>
    <w:p>
      <w:pPr>
        <w:spacing w:after="0" w:line="152" w:lineRule="exact"/>
        <w:rPr>
          <w:rFonts w:ascii="Arial" w:cs="Arial" w:eastAsia="Arial" w:hAnsi="Arial"/>
          <w:sz w:val="22"/>
          <w:szCs w:val="22"/>
          <w:color w:val="auto"/>
        </w:rPr>
      </w:pPr>
    </w:p>
    <w:p>
      <w:pPr>
        <w:jc w:val="both"/>
        <w:ind w:firstLine="1304"/>
        <w:spacing w:after="0" w:line="227" w:lineRule="auto"/>
        <w:tabs>
          <w:tab w:leader="none" w:pos="1939" w:val="left"/>
        </w:tabs>
        <w:numPr>
          <w:ilvl w:val="1"/>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Reimbursements. </w:t>
      </w:r>
      <w:r>
        <w:rPr>
          <w:rFonts w:ascii="Arial" w:cs="Arial" w:eastAsia="Arial" w:hAnsi="Arial"/>
          <w:sz w:val="21"/>
          <w:szCs w:val="21"/>
          <w:color w:val="auto"/>
        </w:rPr>
        <w:t>To the extent that any reimbursements payable to Executive pursuant to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are subject to the provisions of Section 409A of the Code, such reimbursements shall be paid to Executive no later than December 31 of the year following the year in which the cost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53" w:lineRule="exact"/>
        <w:rPr>
          <w:rFonts w:ascii="Arial" w:cs="Arial" w:eastAsia="Arial" w:hAnsi="Arial"/>
          <w:sz w:val="21"/>
          <w:szCs w:val="21"/>
          <w:color w:val="auto"/>
        </w:rPr>
      </w:pPr>
    </w:p>
    <w:p>
      <w:pPr>
        <w:jc w:val="both"/>
        <w:ind w:firstLine="1304"/>
        <w:spacing w:after="0" w:line="241" w:lineRule="auto"/>
        <w:tabs>
          <w:tab w:leader="none" w:pos="2042" w:val="left"/>
        </w:tabs>
        <w:numPr>
          <w:ilvl w:val="1"/>
          <w:numId w:val="48"/>
        </w:numPr>
        <w:rPr>
          <w:rFonts w:ascii="Arial" w:cs="Arial" w:eastAsia="Arial" w:hAnsi="Arial"/>
          <w:sz w:val="19"/>
          <w:szCs w:val="19"/>
          <w:color w:val="auto"/>
        </w:rPr>
      </w:pPr>
      <w:r>
        <w:rPr>
          <w:rFonts w:ascii="Arial" w:cs="Arial" w:eastAsia="Arial" w:hAnsi="Arial"/>
          <w:sz w:val="19"/>
          <w:szCs w:val="19"/>
          <w:b w:val="1"/>
          <w:bCs w:val="1"/>
          <w:color w:val="auto"/>
        </w:rPr>
        <w:t xml:space="preserve">Rights of the Company; Release of Liability. </w:t>
      </w:r>
      <w:r>
        <w:rPr>
          <w:rFonts w:ascii="Arial" w:cs="Arial" w:eastAsia="Arial" w:hAnsi="Arial"/>
          <w:sz w:val="19"/>
          <w:szCs w:val="19"/>
          <w:color w:val="auto"/>
        </w:rPr>
        <w:t>It is the mutual intention of the Executive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that the 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the Executive, make such modifications to the timing or manner of providing such payment and/or benefit to the extent it determines necessary or advisable to comply with the requirements of Section 409A; provided, however,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provided, however, that the Company shall in no event be obligated to pay any interest or other compensation in respect of any delay in the provision of such payments or benefits in order to comply with the requirements of Section 409A. The Executive acknowledges that (i) the provisions of this Section 22 may result in a delay in the time at which payments would otherwise be made pursuant to this Agreement and (ii) the Company is authorized to amend this Agreement, to void or amend any election made by the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the Executive. The Executive hereby releases and holds harmless the Company, its directors, officers and stockholders from any and all claims that may arise from or relate to any tax liability, penalties, interest, costs, fees or other liability incurred by the Executive as a result of the application of Code Section 409A.</w:t>
      </w:r>
    </w:p>
    <w:p>
      <w:pPr>
        <w:spacing w:after="0" w:line="370" w:lineRule="exact"/>
        <w:rPr>
          <w:rFonts w:ascii="Arial" w:cs="Arial" w:eastAsia="Arial" w:hAnsi="Arial"/>
          <w:sz w:val="19"/>
          <w:szCs w:val="19"/>
          <w:color w:val="auto"/>
        </w:rPr>
      </w:pPr>
    </w:p>
    <w:p>
      <w:pPr>
        <w:jc w:val="both"/>
        <w:ind w:firstLine="656"/>
        <w:spacing w:after="0" w:line="225" w:lineRule="auto"/>
        <w:tabs>
          <w:tab w:leader="none" w:pos="1374" w:val="left"/>
        </w:tabs>
        <w:numPr>
          <w:ilvl w:val="0"/>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Future Equity Compensation. </w:t>
      </w:r>
      <w:r>
        <w:rPr>
          <w:rFonts w:ascii="Arial" w:cs="Arial" w:eastAsia="Arial" w:hAnsi="Arial"/>
          <w:sz w:val="22"/>
          <w:szCs w:val="22"/>
          <w:color w:val="auto"/>
        </w:rPr>
        <w:t>The Executive understands and acknowledges that all awards, if any, of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options, restricted stock, performance shares, and other forms of equity compensation by the Company are made at the sole discretion of the Board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01" w:right="339" w:bottom="1440" w:gutter="0" w:footer="0" w:header="0"/>
        </w:sectPr>
      </w:pPr>
    </w:p>
    <w:bookmarkStart w:id="49" w:name="page50"/>
    <w:bookmarkEnd w:id="49"/>
    <w:p>
      <w:pPr>
        <w:jc w:val="both"/>
        <w:spacing w:after="0" w:line="244" w:lineRule="auto"/>
        <w:rPr>
          <w:sz w:val="20"/>
          <w:szCs w:val="20"/>
          <w:color w:val="auto"/>
        </w:rPr>
      </w:pPr>
      <w:r>
        <w:rPr>
          <w:rFonts w:ascii="Arial" w:cs="Arial" w:eastAsia="Arial" w:hAnsi="Arial"/>
          <w:sz w:val="19"/>
          <w:szCs w:val="19"/>
          <w:color w:val="auto"/>
        </w:rPr>
        <w:t>committee or person designated by the Board. The Executive further understands and acknowledges, however, that unless the Executive has executed this Agreement and each successive amendment extending the Term of Employment as may be agreed to by the Company and the Executive, it is the intention of the Board and the Executive that, notwithstanding any continued employment with the Company, (a) the Company shall have no obligation to grant any award of stock options, restricted stock, performance shares, or any other form of equity compensation which might otherwise have been granted to the Executive on or after the intended commencement of the Initial Term or any Extension thereof for which the Executive has failed to sign the Agreement or the applicable Extension amendment and (b) any such award which is nevertheless granted to the Executive after the intended commencement of the Initial Term or any Extension thereof for which the Executive has failed to sign such Agreement or applicable Extension amendment shall not vest unless and until the Executive has executed the Agreement or applicable Extension amendment, notwithstanding the provisions of any agreement evidencing such award to the contrary.</w:t>
      </w:r>
    </w:p>
    <w:p>
      <w:pPr>
        <w:spacing w:after="0" w:line="14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executed this Executive Employment Agreement effective as of the date and year</w:t>
      </w:r>
      <w:r>
        <w:rPr>
          <w:rFonts w:ascii="Arial" w:cs="Arial" w:eastAsia="Arial" w:hAnsi="Arial"/>
          <w:sz w:val="22"/>
          <w:szCs w:val="22"/>
          <w:b w:val="1"/>
          <w:bCs w:val="1"/>
          <w:color w:val="auto"/>
        </w:rPr>
        <w:t xml:space="preserve"> </w:t>
      </w:r>
      <w:r>
        <w:rPr>
          <w:rFonts w:ascii="Arial" w:cs="Arial" w:eastAsia="Arial" w:hAnsi="Arial"/>
          <w:sz w:val="22"/>
          <w:szCs w:val="22"/>
          <w:color w:val="auto"/>
        </w:rPr>
        <w:t>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20" w:type="dxa"/>
            <w:vAlign w:val="bottom"/>
            <w:gridSpan w:val="2"/>
          </w:tcPr>
          <w:p>
            <w:pPr>
              <w:spacing w:after="0"/>
              <w:rPr>
                <w:sz w:val="20"/>
                <w:szCs w:val="20"/>
                <w:color w:val="auto"/>
              </w:rPr>
            </w:pPr>
            <w:r>
              <w:rPr>
                <w:rFonts w:ascii="Arial" w:cs="Arial" w:eastAsia="Arial" w:hAnsi="Arial"/>
                <w:sz w:val="22"/>
                <w:szCs w:val="22"/>
                <w:b w:val="1"/>
                <w:bCs w:val="1"/>
                <w:color w:val="auto"/>
                <w:w w:val="91"/>
              </w:rPr>
              <w:t>Ross Stores, Inc. and Subsidiaries</w:t>
            </w:r>
          </w:p>
        </w:tc>
        <w:tc>
          <w:tcPr>
            <w:tcW w:w="3380" w:type="dxa"/>
            <w:vAlign w:val="bottom"/>
          </w:tcPr>
          <w:p>
            <w:pPr>
              <w:spacing w:after="0"/>
              <w:rPr>
                <w:sz w:val="21"/>
                <w:szCs w:val="21"/>
                <w:color w:val="auto"/>
              </w:rPr>
            </w:pPr>
          </w:p>
        </w:tc>
        <w:tc>
          <w:tcPr>
            <w:tcW w:w="2440" w:type="dxa"/>
            <w:vAlign w:val="bottom"/>
            <w:gridSpan w:val="2"/>
          </w:tcPr>
          <w:p>
            <w:pPr>
              <w:spacing w:after="0"/>
              <w:rPr>
                <w:sz w:val="20"/>
                <w:szCs w:val="20"/>
                <w:color w:val="auto"/>
              </w:rPr>
            </w:pPr>
            <w:r>
              <w:rPr>
                <w:rFonts w:ascii="Arial" w:cs="Arial" w:eastAsia="Arial" w:hAnsi="Arial"/>
                <w:sz w:val="22"/>
                <w:szCs w:val="22"/>
                <w:b w:val="1"/>
                <w:bCs w:val="1"/>
                <w:color w:val="auto"/>
              </w:rPr>
              <w:t>Executive</w:t>
            </w:r>
          </w:p>
        </w:tc>
      </w:tr>
      <w:tr>
        <w:trPr>
          <w:trHeight w:val="20"/>
        </w:trPr>
        <w:tc>
          <w:tcPr>
            <w:tcW w:w="27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736"/>
        </w:trPr>
        <w:tc>
          <w:tcPr>
            <w:tcW w:w="2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/s/K. Gunnar Bjorklund</w:t>
            </w:r>
          </w:p>
        </w:tc>
        <w:tc>
          <w:tcPr>
            <w:tcW w:w="6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/s/Barbara Rentler</w:t>
            </w:r>
          </w:p>
        </w:tc>
      </w:tr>
      <w:tr>
        <w:trPr>
          <w:trHeight w:val="296"/>
        </w:trPr>
        <w:tc>
          <w:tcPr>
            <w:tcW w:w="3320" w:type="dxa"/>
            <w:vAlign w:val="bottom"/>
            <w:gridSpan w:val="2"/>
          </w:tcPr>
          <w:p>
            <w:pPr>
              <w:spacing w:after="0"/>
              <w:rPr>
                <w:sz w:val="20"/>
                <w:szCs w:val="20"/>
                <w:color w:val="auto"/>
              </w:rPr>
            </w:pPr>
            <w:r>
              <w:rPr>
                <w:rFonts w:ascii="Arial" w:cs="Arial" w:eastAsia="Arial" w:hAnsi="Arial"/>
                <w:sz w:val="22"/>
                <w:szCs w:val="22"/>
                <w:color w:val="auto"/>
              </w:rPr>
              <w:t>By: K. Gunnar Bjorklund</w:t>
            </w:r>
          </w:p>
        </w:tc>
        <w:tc>
          <w:tcPr>
            <w:tcW w:w="338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Barbara Rentler</w:t>
            </w:r>
          </w:p>
        </w:tc>
      </w:tr>
      <w:tr>
        <w:trPr>
          <w:trHeight w:val="274"/>
        </w:trPr>
        <w:tc>
          <w:tcPr>
            <w:tcW w:w="3320" w:type="dxa"/>
            <w:vAlign w:val="bottom"/>
            <w:gridSpan w:val="2"/>
          </w:tcPr>
          <w:p>
            <w:pPr>
              <w:spacing w:after="0"/>
              <w:rPr>
                <w:sz w:val="20"/>
                <w:szCs w:val="20"/>
                <w:color w:val="auto"/>
              </w:rPr>
            </w:pPr>
            <w:r>
              <w:rPr>
                <w:rFonts w:ascii="Arial" w:cs="Arial" w:eastAsia="Arial" w:hAnsi="Arial"/>
                <w:sz w:val="22"/>
                <w:szCs w:val="22"/>
                <w:color w:val="auto"/>
              </w:rPr>
              <w:t>Chair, Compensation Committee</w:t>
            </w:r>
          </w:p>
        </w:tc>
        <w:tc>
          <w:tcPr>
            <w:tcW w:w="3380" w:type="dxa"/>
            <w:vAlign w:val="bottom"/>
          </w:tcPr>
          <w:p>
            <w:pPr>
              <w:spacing w:after="0"/>
              <w:rPr>
                <w:sz w:val="23"/>
                <w:szCs w:val="23"/>
                <w:color w:val="auto"/>
              </w:rPr>
            </w:pPr>
          </w:p>
        </w:tc>
        <w:tc>
          <w:tcPr>
            <w:tcW w:w="2440" w:type="dxa"/>
            <w:vAlign w:val="bottom"/>
            <w:gridSpan w:val="2"/>
          </w:tcPr>
          <w:p>
            <w:pPr>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01"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b w:val="1"/>
          <w:bCs w:val="1"/>
          <w:color w:val="auto"/>
        </w:rPr>
        <w:t>Exhibit B to 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SEPARATION AGREEMENT AND GENERAL RELEASE</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This Confidential Separation Agreement and General Release (“Agreement”) is entered into by and between ________________</w:t>
      </w:r>
    </w:p>
    <w:p>
      <w:pPr>
        <w:spacing w:after="0" w:line="16" w:lineRule="exact"/>
        <w:rPr>
          <w:sz w:val="20"/>
          <w:szCs w:val="20"/>
          <w:color w:val="auto"/>
        </w:rPr>
      </w:pPr>
    </w:p>
    <w:p>
      <w:pPr>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Executive</w:t>
      </w:r>
      <w:r>
        <w:rPr>
          <w:rFonts w:ascii="Arial" w:cs="Arial" w:eastAsia="Arial" w:hAnsi="Arial"/>
          <w:sz w:val="21"/>
          <w:szCs w:val="21"/>
          <w:color w:val="auto"/>
        </w:rPr>
        <w:t>”) and Ross Stores, Inc. and its subsidiaries (collectively “</w:t>
      </w:r>
      <w:r>
        <w:rPr>
          <w:rFonts w:ascii="Arial" w:cs="Arial" w:eastAsia="Arial" w:hAnsi="Arial"/>
          <w:sz w:val="21"/>
          <w:szCs w:val="21"/>
          <w:u w:val="single" w:color="auto"/>
          <w:color w:val="auto"/>
        </w:rPr>
        <w:t>Ross</w:t>
      </w:r>
      <w:r>
        <w:rPr>
          <w:rFonts w:ascii="Arial" w:cs="Arial" w:eastAsia="Arial" w:hAnsi="Arial"/>
          <w:sz w:val="21"/>
          <w:szCs w:val="21"/>
          <w:color w:val="auto"/>
        </w:rPr>
        <w:t xml:space="preserve"> ” or “the Company”). In consideration for the mutual covenants and undertakings set forth below, Executive and Ross knowingly and voluntarily agree as follows:</w:t>
      </w:r>
    </w:p>
    <w:p>
      <w:pPr>
        <w:spacing w:after="0" w:line="18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Separation</w:t>
      </w:r>
      <w:r>
        <w:rPr>
          <w:rFonts w:ascii="Arial" w:cs="Arial" w:eastAsia="Arial" w:hAnsi="Arial"/>
          <w:sz w:val="19"/>
          <w:szCs w:val="19"/>
          <w:color w:val="auto"/>
        </w:rPr>
        <w:t>. Executive’s employment with Ross terminates or terminated effective ______________ (the “</w:t>
      </w:r>
      <w:r>
        <w:rPr>
          <w:rFonts w:ascii="Arial" w:cs="Arial" w:eastAsia="Arial" w:hAnsi="Arial"/>
          <w:sz w:val="19"/>
          <w:szCs w:val="19"/>
          <w:u w:val="single" w:color="auto"/>
          <w:color w:val="auto"/>
        </w:rPr>
        <w:t>Separation Date</w:t>
      </w:r>
      <w:r>
        <w:rPr>
          <w:rFonts w:ascii="Arial" w:cs="Arial" w:eastAsia="Arial" w:hAnsi="Arial"/>
          <w:sz w:val="19"/>
          <w:szCs w:val="19"/>
          <w:color w:val="auto"/>
        </w:rPr>
        <w:t>”).</w:t>
      </w:r>
    </w:p>
    <w:p>
      <w:pPr>
        <w:spacing w:after="0" w:line="213" w:lineRule="exact"/>
        <w:rPr>
          <w:rFonts w:ascii="Arial" w:cs="Arial" w:eastAsia="Arial" w:hAnsi="Arial"/>
          <w:sz w:val="19"/>
          <w:szCs w:val="19"/>
          <w:color w:val="auto"/>
        </w:rPr>
      </w:pPr>
    </w:p>
    <w:p>
      <w:pPr>
        <w:jc w:val="both"/>
        <w:ind w:left="340" w:hanging="332"/>
        <w:spacing w:after="0" w:line="236" w:lineRule="auto"/>
        <w:tabs>
          <w:tab w:leader="none" w:pos="340" w:val="left"/>
        </w:tabs>
        <w:numPr>
          <w:ilvl w:val="0"/>
          <w:numId w:val="50"/>
        </w:numPr>
        <w:rPr>
          <w:rFonts w:ascii="Arial" w:cs="Arial" w:eastAsia="Arial" w:hAnsi="Arial"/>
          <w:sz w:val="21"/>
          <w:szCs w:val="21"/>
          <w:color w:val="auto"/>
        </w:rPr>
      </w:pPr>
      <w:r>
        <w:rPr>
          <w:rFonts w:ascii="Arial" w:cs="Arial" w:eastAsia="Arial" w:hAnsi="Arial"/>
          <w:sz w:val="21"/>
          <w:szCs w:val="21"/>
          <w:b w:val="1"/>
          <w:bCs w:val="1"/>
          <w:color w:val="auto"/>
        </w:rPr>
        <w:t>Verification of Employment</w:t>
      </w:r>
      <w:r>
        <w:rPr>
          <w:rFonts w:ascii="Arial" w:cs="Arial" w:eastAsia="Arial" w:hAnsi="Arial"/>
          <w:sz w:val="21"/>
          <w:szCs w:val="21"/>
          <w:color w:val="auto"/>
        </w:rPr>
        <w:t>. Executive agrees to refer prospective employers or others seeking verification of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to the Company's third party provider, The Work Number ( 1-800-367-5690 or http://www.theworknumber.com). The Work Number will verify Executive’s dates of employment and job title only.</w:t>
      </w:r>
    </w:p>
    <w:p>
      <w:pPr>
        <w:spacing w:after="0" w:line="151" w:lineRule="exact"/>
        <w:rPr>
          <w:rFonts w:ascii="Arial" w:cs="Arial" w:eastAsia="Arial" w:hAnsi="Arial"/>
          <w:sz w:val="21"/>
          <w:szCs w:val="21"/>
          <w:color w:val="auto"/>
        </w:rPr>
      </w:pPr>
    </w:p>
    <w:p>
      <w:pPr>
        <w:ind w:left="340" w:hanging="332"/>
        <w:spacing w:after="0"/>
        <w:tabs>
          <w:tab w:leader="none" w:pos="340" w:val="left"/>
        </w:tabs>
        <w:numPr>
          <w:ilvl w:val="0"/>
          <w:numId w:val="50"/>
        </w:numPr>
        <w:rPr>
          <w:rFonts w:ascii="Arial" w:cs="Arial" w:eastAsia="Arial" w:hAnsi="Arial"/>
          <w:sz w:val="19"/>
          <w:szCs w:val="19"/>
          <w:color w:val="auto"/>
        </w:rPr>
      </w:pPr>
      <w:r>
        <w:rPr>
          <w:rFonts w:ascii="Arial" w:cs="Arial" w:eastAsia="Arial" w:hAnsi="Arial"/>
          <w:sz w:val="19"/>
          <w:szCs w:val="19"/>
          <w:b w:val="1"/>
          <w:bCs w:val="1"/>
          <w:color w:val="auto"/>
        </w:rPr>
        <w:t>Compensation and Benefits</w:t>
      </w:r>
      <w:r>
        <w:rPr>
          <w:rFonts w:ascii="Arial" w:cs="Arial" w:eastAsia="Arial" w:hAnsi="Arial"/>
          <w:sz w:val="19"/>
          <w:szCs w:val="19"/>
          <w:color w:val="auto"/>
        </w:rPr>
        <w:t>. Ross shall pay and provide Executive the compensation and benefits set forth in Sections 8(a)</w:t>
      </w:r>
    </w:p>
    <w:p>
      <w:pPr>
        <w:spacing w:after="0" w:line="21" w:lineRule="exact"/>
        <w:rPr>
          <w:rFonts w:ascii="Arial" w:cs="Arial" w:eastAsia="Arial" w:hAnsi="Arial"/>
          <w:sz w:val="19"/>
          <w:szCs w:val="19"/>
          <w:color w:val="auto"/>
        </w:rPr>
      </w:pPr>
    </w:p>
    <w:p>
      <w:pPr>
        <w:jc w:val="both"/>
        <w:ind w:left="340" w:hanging="8"/>
        <w:spacing w:after="0" w:line="278" w:lineRule="auto"/>
        <w:tabs>
          <w:tab w:leader="none" w:pos="625"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through (vii) of the Executive Employment Agreement, dated _____________ (“Executive Agreement”) in accordance with the terms of those Sections and subject to the provisions in Section 17 of the Executive Agreement regarding mitigation.</w:t>
      </w:r>
    </w:p>
    <w:p>
      <w:pPr>
        <w:spacing w:after="0" w:line="117" w:lineRule="exact"/>
        <w:rPr>
          <w:rFonts w:ascii="Arial" w:cs="Arial" w:eastAsia="Arial" w:hAnsi="Arial"/>
          <w:sz w:val="19"/>
          <w:szCs w:val="19"/>
          <w:color w:val="auto"/>
        </w:rPr>
      </w:pPr>
    </w:p>
    <w:p>
      <w:pPr>
        <w:jc w:val="both"/>
        <w:ind w:left="340" w:hanging="332"/>
        <w:spacing w:after="0" w:line="212" w:lineRule="auto"/>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Release</w:t>
      </w:r>
      <w:r>
        <w:rPr>
          <w:rFonts w:ascii="Arial" w:cs="Arial" w:eastAsia="Arial" w:hAnsi="Arial"/>
          <w:sz w:val="22"/>
          <w:szCs w:val="22"/>
          <w:color w:val="auto"/>
        </w:rPr>
        <w:t>. In consideration for Ross’ promises herein, Executive knowingly and voluntarily releases and forever discharges</w:t>
      </w:r>
      <w:r>
        <w:rPr>
          <w:rFonts w:ascii="Arial" w:cs="Arial" w:eastAsia="Arial" w:hAnsi="Arial"/>
          <w:sz w:val="22"/>
          <w:szCs w:val="22"/>
          <w:b w:val="1"/>
          <w:bCs w:val="1"/>
          <w:color w:val="auto"/>
        </w:rPr>
        <w:t xml:space="preserve"> </w:t>
      </w:r>
      <w:r>
        <w:rPr>
          <w:rFonts w:ascii="Arial" w:cs="Arial" w:eastAsia="Arial" w:hAnsi="Arial"/>
          <w:sz w:val="22"/>
          <w:szCs w:val="22"/>
          <w:color w:val="auto"/>
        </w:rPr>
        <w:t>Ross, and all of its parent corporations, affiliates, subsidiaries, divisions, successors and assignees, as well as the current and former employees, attorneys, officers, directors, and agents thereof of each (collectively referred to throughout the remainder of this Agreement as “</w:t>
      </w:r>
      <w:r>
        <w:rPr>
          <w:rFonts w:ascii="Arial" w:cs="Arial" w:eastAsia="Arial" w:hAnsi="Arial"/>
          <w:sz w:val="22"/>
          <w:szCs w:val="22"/>
          <w:u w:val="single" w:color="auto"/>
          <w:color w:val="auto"/>
        </w:rPr>
        <w:t>Releasee</w:t>
      </w:r>
      <w:r>
        <w:rPr>
          <w:rFonts w:ascii="Arial" w:cs="Arial" w:eastAsia="Arial" w:hAnsi="Arial"/>
          <w:sz w:val="22"/>
          <w:szCs w:val="22"/>
          <w:color w:val="auto"/>
        </w:rPr>
        <w:t>s”), of and from any and all claims, judgments, promises, agreements, obligations, damages, losses, costs, expenses (including attorneys’ fees), and liabilities of whatever kind and character, known and unknown, which Executive may now have, has ever had, or may in the future have, arising from or in any way connected with any and all matters from the beginning of time to the date hereof, including but not limited to any alleged causes of action for violation of:</w:t>
      </w:r>
    </w:p>
    <w:p>
      <w:pPr>
        <w:spacing w:after="0" w:line="170" w:lineRule="exact"/>
        <w:rPr>
          <w:rFonts w:ascii="Arial" w:cs="Arial" w:eastAsia="Arial" w:hAnsi="Arial"/>
          <w:sz w:val="22"/>
          <w:szCs w:val="22"/>
          <w:color w:val="auto"/>
        </w:rPr>
      </w:pPr>
    </w:p>
    <w:p>
      <w:pPr>
        <w:ind w:left="980" w:hanging="324"/>
        <w:spacing w:after="0"/>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Title VII of the Civil Rights Act of 1964,</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National Labor Relations Act,</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Civil Rights Act of 1991</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Sections 1981 through 1988 of Title 42 of the United States Code,</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Employee Retirement Income Security Act of 1974,</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Immigration Reform and Control Act,</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Americans with Disabilities Act of 1990, the Age Discrimination in Employment Act of 1967,</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Federal Workers Adjustments and Retraining Notification Act,</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Occupational Safety and Health Act,</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Sarbanes-Oxley Act of 2002</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Equal Pay Act of 1963</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New York State Civil Rights Act,</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New York Equal Pay Law</w:t>
      </w:r>
    </w:p>
    <w:p>
      <w:pPr>
        <w:ind w:left="980" w:hanging="324"/>
        <w:spacing w:after="0" w:line="204" w:lineRule="auto"/>
        <w:tabs>
          <w:tab w:leader="none" w:pos="980"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New York State Human Rights Law</w:t>
      </w:r>
    </w:p>
    <w:p>
      <w:pPr>
        <w:ind w:left="980" w:right="100" w:hanging="324"/>
        <w:spacing w:after="0" w:line="224" w:lineRule="auto"/>
        <w:tabs>
          <w:tab w:leader="none" w:pos="975"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New York State Labor Law, the New York City Administrative Code and Charter, the Delaware Discrimination in Employment Act, the Delaware Whistleblowers’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98" w:right="339" w:bottom="1440" w:gutter="0" w:footer="0" w:header="0"/>
        </w:sectPr>
      </w:pPr>
    </w:p>
    <w:bookmarkStart w:id="51" w:name="page52"/>
    <w:bookmarkEnd w:id="51"/>
    <w:p>
      <w:pPr>
        <w:ind w:left="980" w:right="60"/>
        <w:spacing w:after="0" w:line="213" w:lineRule="auto"/>
        <w:rPr>
          <w:sz w:val="20"/>
          <w:szCs w:val="20"/>
          <w:color w:val="auto"/>
        </w:rPr>
      </w:pPr>
      <w:r>
        <w:rPr>
          <w:rFonts w:ascii="Arial" w:cs="Arial" w:eastAsia="Arial" w:hAnsi="Arial"/>
          <w:sz w:val="22"/>
          <w:szCs w:val="22"/>
          <w:color w:val="auto"/>
        </w:rPr>
        <w:t>Protection Act, the Delaware Wage Payment and Collection Act, the Delaware Persons With Disabilities Employment Protections Act, and any</w:t>
      </w:r>
    </w:p>
    <w:p>
      <w:pPr>
        <w:ind w:left="980" w:hanging="324"/>
        <w:spacing w:after="0" w:line="238" w:lineRule="auto"/>
        <w:tabs>
          <w:tab w:leader="none" w:pos="980" w:val="left"/>
        </w:tabs>
        <w:numPr>
          <w:ilvl w:val="0"/>
          <w:numId w:val="51"/>
        </w:numPr>
        <w:rPr>
          <w:rFonts w:ascii="Arial" w:cs="Arial" w:eastAsia="Arial" w:hAnsi="Arial"/>
          <w:sz w:val="19"/>
          <w:szCs w:val="19"/>
          <w:color w:val="auto"/>
        </w:rPr>
      </w:pPr>
      <w:r>
        <w:rPr>
          <w:rFonts w:ascii="Arial" w:cs="Arial" w:eastAsia="Arial" w:hAnsi="Arial"/>
          <w:sz w:val="19"/>
          <w:szCs w:val="19"/>
          <w:color w:val="auto"/>
        </w:rPr>
        <w:t>other federal, state or local civil or human rights law, any other local, state or federal law, regulation or ordinance</w:t>
      </w:r>
    </w:p>
    <w:p>
      <w:pPr>
        <w:ind w:left="980" w:right="520" w:hanging="324"/>
        <w:spacing w:after="0" w:line="224" w:lineRule="auto"/>
        <w:tabs>
          <w:tab w:leader="none" w:pos="975"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public policy, any contract, tort, or common law, and including any claims for costs, attorneys’ fees, or other expenses,</w:t>
      </w:r>
    </w:p>
    <w:p>
      <w:pPr>
        <w:spacing w:after="0" w:line="185" w:lineRule="exact"/>
        <w:rPr>
          <w:sz w:val="20"/>
          <w:szCs w:val="20"/>
          <w:color w:val="auto"/>
        </w:rPr>
      </w:pPr>
    </w:p>
    <w:p>
      <w:pPr>
        <w:ind w:left="660"/>
        <w:spacing w:after="0" w:line="298" w:lineRule="auto"/>
        <w:rPr>
          <w:sz w:val="20"/>
          <w:szCs w:val="20"/>
          <w:color w:val="auto"/>
        </w:rPr>
      </w:pPr>
      <w:r>
        <w:rPr>
          <w:rFonts w:ascii="Arial" w:cs="Arial" w:eastAsia="Arial" w:hAnsi="Arial"/>
          <w:sz w:val="19"/>
          <w:szCs w:val="19"/>
          <w:color w:val="auto"/>
        </w:rPr>
        <w:t>Notwithstanding anything set forth in this Agreement, this release of claims excludes and does not apply to any claims that cannot be released under applicable law, such as worker’s compensation and unemployment compensation claims.</w:t>
      </w:r>
    </w:p>
    <w:p>
      <w:pPr>
        <w:spacing w:after="0" w:line="126" w:lineRule="exact"/>
        <w:rPr>
          <w:sz w:val="20"/>
          <w:szCs w:val="20"/>
          <w:color w:val="auto"/>
        </w:rPr>
      </w:pPr>
    </w:p>
    <w:p>
      <w:pPr>
        <w:ind w:left="340" w:right="20" w:hanging="332"/>
        <w:spacing w:after="0" w:line="305"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No Filed Claims</w:t>
      </w:r>
      <w:r>
        <w:rPr>
          <w:rFonts w:ascii="Arial" w:cs="Arial" w:eastAsia="Arial" w:hAnsi="Arial"/>
          <w:sz w:val="19"/>
          <w:szCs w:val="19"/>
          <w:color w:val="auto"/>
        </w:rPr>
        <w:t>. Executive represents that, prior to Executive’s execution of this Agreement, Executive did not file any</w:t>
      </w:r>
      <w:r>
        <w:rPr>
          <w:rFonts w:ascii="Arial" w:cs="Arial" w:eastAsia="Arial" w:hAnsi="Arial"/>
          <w:sz w:val="19"/>
          <w:szCs w:val="19"/>
          <w:b w:val="1"/>
          <w:bCs w:val="1"/>
          <w:color w:val="auto"/>
        </w:rPr>
        <w:t xml:space="preserve"> </w:t>
      </w:r>
      <w:r>
        <w:rPr>
          <w:rFonts w:ascii="Arial" w:cs="Arial" w:eastAsia="Arial" w:hAnsi="Arial"/>
          <w:sz w:val="19"/>
          <w:szCs w:val="19"/>
          <w:color w:val="auto"/>
        </w:rPr>
        <w:t>charge, complaint or lawsuit against any of the Releasees with any court or regulatory agency or in any arbitral forum.</w:t>
      </w:r>
    </w:p>
    <w:p>
      <w:pPr>
        <w:spacing w:after="0" w:line="92" w:lineRule="exact"/>
        <w:rPr>
          <w:rFonts w:ascii="Arial" w:cs="Arial" w:eastAsia="Arial" w:hAnsi="Arial"/>
          <w:sz w:val="19"/>
          <w:szCs w:val="19"/>
          <w:color w:val="auto"/>
        </w:rPr>
      </w:pPr>
    </w:p>
    <w:p>
      <w:pPr>
        <w:jc w:val="both"/>
        <w:ind w:left="340" w:hanging="332"/>
        <w:spacing w:after="0" w:line="241" w:lineRule="auto"/>
        <w:tabs>
          <w:tab w:leader="none" w:pos="34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Participation/Communication Rights and Obligations</w:t>
      </w:r>
      <w:r>
        <w:rPr>
          <w:rFonts w:ascii="Arial" w:cs="Arial" w:eastAsia="Arial" w:hAnsi="Arial"/>
          <w:sz w:val="19"/>
          <w:szCs w:val="19"/>
          <w:color w:val="auto"/>
        </w:rPr>
        <w:t>. Nothing in this Agreement precludes Executive from filing a</w:t>
      </w:r>
      <w:r>
        <w:rPr>
          <w:rFonts w:ascii="Arial" w:cs="Arial" w:eastAsia="Arial" w:hAnsi="Arial"/>
          <w:sz w:val="19"/>
          <w:szCs w:val="19"/>
          <w:b w:val="1"/>
          <w:bCs w:val="1"/>
          <w:color w:val="auto"/>
        </w:rPr>
        <w:t xml:space="preserve"> </w:t>
      </w:r>
      <w:r>
        <w:rPr>
          <w:rFonts w:ascii="Arial" w:cs="Arial" w:eastAsia="Arial" w:hAnsi="Arial"/>
          <w:sz w:val="19"/>
          <w:szCs w:val="19"/>
          <w:color w:val="auto"/>
        </w:rPr>
        <w:t>charge or complaint with, communicating with or providing information or documents to, reporting possible violations of law or regulation to, responding to any inquiry from, providing testimony before, or otherwise participating in an investigation or proceeding by the U.S. Equal Employment Opportunity Commission, the U.S. Securities and Exchange Commission, the U.S. Department of Justice, Congress, any agency Inspector General or other governmental agency or regulatory authority, or from making other disclosures that are protected under the whistleblower provisions of federal, state or local law or regulation. Executive hereby agrees, however, to waive Executive’s right to any monetary or other recovery should any claim released by this Agreement be pursued by or with any of the foregoing government entities or agencies on Executive’s behalf, except that Executive is not prohibited from seeking or obtaining a payment or award from a governmental agency for information provided to the governmental agency. Executive is advised that, notwithstanding Executive’s confidentiality and non-disclosure obligations set forth in this Agreement, pursuant to the federal Defend Trade Secrets Act (‘DTSA”), Executive shall not be held criminally or civilly liable under any federal or state trade secret law for the disclosure of a trade secret that is made: (1) in confidence to a federal, state, or local government official, either directly or indirectly, or to an attorney, and solely for the purpose of reporting or investigating a suspected violation of law; or (2) in a complaint or other document filed in a lawsuit or other proceeding, if such filing is made under seal. In addition, DTSA provides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54" w:lineRule="exact"/>
        <w:rPr>
          <w:rFonts w:ascii="Arial" w:cs="Arial" w:eastAsia="Arial" w:hAnsi="Arial"/>
          <w:sz w:val="19"/>
          <w:szCs w:val="19"/>
          <w:color w:val="auto"/>
        </w:rPr>
      </w:pPr>
    </w:p>
    <w:p>
      <w:pPr>
        <w:jc w:val="both"/>
        <w:ind w:left="340" w:hanging="332"/>
        <w:spacing w:after="0" w:line="220" w:lineRule="auto"/>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No Other Compensation or Benefits</w:t>
      </w:r>
      <w:r>
        <w:rPr>
          <w:rFonts w:ascii="Arial" w:cs="Arial" w:eastAsia="Arial" w:hAnsi="Arial"/>
          <w:sz w:val="22"/>
          <w:szCs w:val="22"/>
          <w:color w:val="auto"/>
        </w:rPr>
        <w:t>. Executive affirms that Executive has been paid and/or has received all leave (paid or</w:t>
      </w:r>
      <w:r>
        <w:rPr>
          <w:rFonts w:ascii="Arial" w:cs="Arial" w:eastAsia="Arial" w:hAnsi="Arial"/>
          <w:sz w:val="22"/>
          <w:szCs w:val="22"/>
          <w:b w:val="1"/>
          <w:bCs w:val="1"/>
          <w:color w:val="auto"/>
        </w:rPr>
        <w:t xml:space="preserve"> </w:t>
      </w:r>
      <w:r>
        <w:rPr>
          <w:rFonts w:ascii="Arial" w:cs="Arial" w:eastAsia="Arial" w:hAnsi="Arial"/>
          <w:sz w:val="22"/>
          <w:szCs w:val="22"/>
          <w:color w:val="auto"/>
        </w:rPr>
        <w:t>unpaid), compensation, wages, bonuses, commissions, expense reimbursement, and benefits to which Executive may be entitled and that no other leave (paid or unpaid), compensation, wages, bonuses, commissions, expense reimbursement or benefits are due to Executive, except as provided in this Agreement.</w:t>
      </w:r>
    </w:p>
    <w:p>
      <w:pPr>
        <w:spacing w:after="0" w:line="152" w:lineRule="exact"/>
        <w:rPr>
          <w:rFonts w:ascii="Arial" w:cs="Arial" w:eastAsia="Arial" w:hAnsi="Arial"/>
          <w:sz w:val="22"/>
          <w:szCs w:val="22"/>
          <w:color w:val="auto"/>
        </w:rPr>
      </w:pPr>
    </w:p>
    <w:p>
      <w:pPr>
        <w:ind w:left="340" w:hanging="332"/>
        <w:spacing w:after="0" w:line="235" w:lineRule="auto"/>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b w:val="1"/>
          <w:bCs w:val="1"/>
          <w:color w:val="auto"/>
        </w:rPr>
        <w:t>Acknowledgements Regarding Employment Matters</w:t>
      </w:r>
      <w:r>
        <w:rPr>
          <w:rFonts w:ascii="Arial" w:cs="Arial" w:eastAsia="Arial" w:hAnsi="Arial"/>
          <w:sz w:val="22"/>
          <w:szCs w:val="22"/>
          <w:color w:val="auto"/>
        </w:rPr>
        <w:t>. Executive affirms that Executive has no known workplace injuries</w:t>
      </w:r>
      <w:r>
        <w:rPr>
          <w:rFonts w:ascii="Arial" w:cs="Arial" w:eastAsia="Arial" w:hAnsi="Arial"/>
          <w:sz w:val="22"/>
          <w:szCs w:val="22"/>
          <w:b w:val="1"/>
          <w:bCs w:val="1"/>
          <w:color w:val="auto"/>
        </w:rPr>
        <w:t xml:space="preserve"> </w:t>
      </w:r>
      <w:r>
        <w:rPr>
          <w:rFonts w:ascii="Arial" w:cs="Arial" w:eastAsia="Arial" w:hAnsi="Arial"/>
          <w:sz w:val="22"/>
          <w:szCs w:val="22"/>
          <w:color w:val="auto"/>
        </w:rPr>
        <w:t>or occupational diseases and has been provided and/or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52" w:name="page53"/>
    <w:bookmarkEnd w:id="52"/>
    <w:p>
      <w:pPr>
        <w:jc w:val="both"/>
        <w:ind w:left="340"/>
        <w:spacing w:after="0" w:line="214" w:lineRule="auto"/>
        <w:rPr>
          <w:sz w:val="20"/>
          <w:szCs w:val="20"/>
          <w:color w:val="auto"/>
        </w:rPr>
      </w:pPr>
      <w:r>
        <w:rPr>
          <w:rFonts w:ascii="Arial" w:cs="Arial" w:eastAsia="Arial" w:hAnsi="Arial"/>
          <w:sz w:val="22"/>
          <w:szCs w:val="22"/>
          <w:color w:val="auto"/>
        </w:rPr>
        <w:t>not been denied any leave requested, including any leave under the Family and Medical Leave Act or any other leave authorized by federal or state law. Executive further affirms that Executive has not reported any purported improper, unethical, or illegal conduct or activities to any supervisor, manager, executive, human resources representative, or agent of Ross and has no knowledge of any such improper, unethical, or illegal conduct or activities. Executive additionally affirms that, during the course of employment at Ross, Executive has taken no actions contrary to or inconsistent with Executive’s job responsibilities or the best interests of Ross’ business.</w:t>
      </w:r>
    </w:p>
    <w:p>
      <w:pPr>
        <w:spacing w:after="0" w:line="153" w:lineRule="exact"/>
        <w:rPr>
          <w:sz w:val="20"/>
          <w:szCs w:val="20"/>
          <w:color w:val="auto"/>
        </w:rPr>
      </w:pPr>
    </w:p>
    <w:p>
      <w:pPr>
        <w:jc w:val="both"/>
        <w:ind w:left="340" w:hanging="332"/>
        <w:spacing w:after="0" w:line="243" w:lineRule="auto"/>
        <w:tabs>
          <w:tab w:leader="none" w:pos="34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Restrictive Covenants</w:t>
      </w:r>
      <w:r>
        <w:rPr>
          <w:rFonts w:ascii="Arial" w:cs="Arial" w:eastAsia="Arial" w:hAnsi="Arial"/>
          <w:sz w:val="19"/>
          <w:szCs w:val="19"/>
          <w:color w:val="auto"/>
        </w:rPr>
        <w:t>. The parties expressly acknowledge that those certain employment obligations set forth in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Agreement, specifically the non-compete provisions in Section 9(b), the non-solicitation of employees provisions in Section 9(c), the non-solicitation of third parties provisions in Section 9(d), and the non-disparagement provisions in Section 9(e) of the Executive Agreement, shall remain in full force and effect for the time period(s) specified in those provisions. In addition, to the extent applicable law considers the reason for termination in determining whether to enforce the employment obligations in Sections 9(b), (c) or (d), Executive’s involuntary termination shall be deemed to have been for cause if Ross, in its discretion, terminated Executive’s employment due to Executive’s poor performance, failure to abide by Ross’s code of conduct or other policy, theft, dishonesty, breach of fiduciary duty, unauthorized use or disclosure of Ross’s property or confidential information, conviction of a crime, unlawful use of illegal drugs, or other misconduct. Notwithstanding anything set forth in this Agreement or in the Executive Agreement, the employment obligations referenced in this paragraph, and any claim or dispute arising therefrom, shall be governed, interpreted and enforced in accordance with the laws of the State of Delaware (where Ross is incorporated) without regard to its conflict or choice of law provisions.</w:t>
      </w:r>
    </w:p>
    <w:p>
      <w:pPr>
        <w:spacing w:after="0" w:line="153" w:lineRule="exact"/>
        <w:rPr>
          <w:rFonts w:ascii="Arial" w:cs="Arial" w:eastAsia="Arial" w:hAnsi="Arial"/>
          <w:sz w:val="19"/>
          <w:szCs w:val="19"/>
          <w:color w:val="auto"/>
        </w:rPr>
      </w:pPr>
    </w:p>
    <w:p>
      <w:pPr>
        <w:jc w:val="both"/>
        <w:ind w:left="340" w:hanging="332"/>
        <w:spacing w:after="0" w:line="243" w:lineRule="auto"/>
        <w:tabs>
          <w:tab w:leader="none" w:pos="34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Return of Documents, Material, Information and Property</w:t>
      </w:r>
      <w:r>
        <w:rPr>
          <w:rFonts w:ascii="Arial" w:cs="Arial" w:eastAsia="Arial" w:hAnsi="Arial"/>
          <w:sz w:val="19"/>
          <w:szCs w:val="19"/>
          <w:color w:val="auto"/>
        </w:rPr>
        <w:t>. By no later than the Separation Date, Executive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return to Ross all Ross documents (and copies) and other Ross property that Executive has in Executive’s possession, including, but not limited to, Ross files, notes, drawings, records, business plans and forecasts, financial information, specifications, computer-recorded information, tangible property (laptop computer, cell phone, PDA, flash drives, remote access tokens, etc.), credit cards, entry cards, identification badges and keys, and any materials of any kind that contain or embody any proprietary or confidential information of Ross (and all reproductions thereof), including but not limited to any confidential personnel or personally identifiable information about Ross employees learned in the course and scope of Executive’s employment (“Company Property”). Executive represents that Executive has made a diligent search to locate any such documents, property and information, and that Executive has permanently deleted and expunged all Ross information in Executive’s possession and from any personal computer, smartphone, tablet, server, cloud or e-mail system. Executive further represents that, other than in the scope of Executive’s employment with Ross and for the benefit of Ross, Executive has not provided any Company Property to any third party and will not do so in the future.</w:t>
      </w:r>
    </w:p>
    <w:p>
      <w:pPr>
        <w:spacing w:after="0" w:line="153" w:lineRule="exact"/>
        <w:rPr>
          <w:rFonts w:ascii="Arial" w:cs="Arial" w:eastAsia="Arial" w:hAnsi="Arial"/>
          <w:sz w:val="19"/>
          <w:szCs w:val="19"/>
          <w:color w:val="auto"/>
        </w:rPr>
      </w:pPr>
    </w:p>
    <w:p>
      <w:pPr>
        <w:jc w:val="both"/>
        <w:ind w:left="340" w:hanging="332"/>
        <w:spacing w:after="0" w:line="230" w:lineRule="auto"/>
        <w:tabs>
          <w:tab w:leader="none" w:pos="332" w:val="left"/>
        </w:tabs>
        <w:numPr>
          <w:ilvl w:val="0"/>
          <w:numId w:val="53"/>
        </w:numPr>
        <w:rPr>
          <w:rFonts w:ascii="Arial" w:cs="Arial" w:eastAsia="Arial" w:hAnsi="Arial"/>
          <w:sz w:val="21"/>
          <w:szCs w:val="2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Executive further agrees to be available as needed and fully cooperate with Ross in defending any anticipated,</w:t>
      </w:r>
      <w:r>
        <w:rPr>
          <w:rFonts w:ascii="Arial" w:cs="Arial" w:eastAsia="Arial" w:hAnsi="Arial"/>
          <w:sz w:val="21"/>
          <w:szCs w:val="21"/>
          <w:b w:val="1"/>
          <w:bCs w:val="1"/>
          <w:color w:val="auto"/>
        </w:rPr>
        <w:t xml:space="preserve"> </w:t>
      </w:r>
      <w:r>
        <w:rPr>
          <w:rFonts w:ascii="Arial" w:cs="Arial" w:eastAsia="Arial" w:hAnsi="Arial"/>
          <w:sz w:val="21"/>
          <w:szCs w:val="21"/>
          <w:color w:val="auto"/>
        </w:rPr>
        <w:t>threatened, or actual litigation that currently exists or that may arise subsequent to the execution of this Agreement. Such cooperation shall include, but is not limited to, meeting with internal Ross employees to discuss and review issues in which Executive was directly or indirectly involved with during Executive’s employment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53" w:name="page54"/>
    <w:bookmarkEnd w:id="53"/>
    <w:p>
      <w:pPr>
        <w:jc w:val="both"/>
        <w:ind w:left="340"/>
        <w:spacing w:after="0" w:line="214" w:lineRule="auto"/>
        <w:rPr>
          <w:sz w:val="20"/>
          <w:szCs w:val="20"/>
          <w:color w:val="auto"/>
        </w:rPr>
      </w:pPr>
      <w:r>
        <w:rPr>
          <w:rFonts w:ascii="Arial" w:cs="Arial" w:eastAsia="Arial" w:hAnsi="Arial"/>
          <w:sz w:val="22"/>
          <w:szCs w:val="22"/>
          <w:color w:val="auto"/>
        </w:rPr>
        <w:t>Ross, participating in any investigation conducted by Ross either internally or by outside counsel or consultants, signing declarations or witness statements, preparing for and serving as a witness in a deposition or at trial in any civil or administrative proceeding, reviewing documents, and similar activities that Ross deems necessary. Executive further agrees to be available as needed and cooperate in answering questions regarding any previous or current project Executive worked on while employed by Ross so as to insure a smooth transition of responsibilities and to minimize any adverse consequences of Executive’s departure.</w:t>
      </w:r>
    </w:p>
    <w:p>
      <w:pPr>
        <w:spacing w:after="0" w:line="153" w:lineRule="exact"/>
        <w:rPr>
          <w:sz w:val="20"/>
          <w:szCs w:val="20"/>
          <w:color w:val="auto"/>
        </w:rPr>
      </w:pPr>
    </w:p>
    <w:p>
      <w:pPr>
        <w:jc w:val="both"/>
        <w:ind w:left="340" w:hanging="332"/>
        <w:spacing w:after="0" w:line="220" w:lineRule="auto"/>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 Executive agrees that this is a private agreement and that Executive will not disclose or discuss the fact that</w:t>
      </w:r>
      <w:r>
        <w:rPr>
          <w:rFonts w:ascii="Arial" w:cs="Arial" w:eastAsia="Arial" w:hAnsi="Arial"/>
          <w:sz w:val="22"/>
          <w:szCs w:val="22"/>
          <w:b w:val="1"/>
          <w:bCs w:val="1"/>
          <w:color w:val="auto"/>
        </w:rPr>
        <w:t xml:space="preserve"> </w:t>
      </w:r>
      <w:r>
        <w:rPr>
          <w:rFonts w:ascii="Arial" w:cs="Arial" w:eastAsia="Arial" w:hAnsi="Arial"/>
          <w:sz w:val="22"/>
          <w:szCs w:val="22"/>
          <w:color w:val="auto"/>
        </w:rPr>
        <w:t>it exists or discuss or disclose its terms with anyone other than Executive’s spouse, attorney, and accountant, or as required by law. Further, nothing in this Agreement shall limit the Executive’s right to disclose sexual harassment or sexual assault disputes.</w:t>
      </w:r>
    </w:p>
    <w:p>
      <w:pPr>
        <w:spacing w:after="0" w:line="152" w:lineRule="exact"/>
        <w:rPr>
          <w:rFonts w:ascii="Arial" w:cs="Arial" w:eastAsia="Arial" w:hAnsi="Arial"/>
          <w:sz w:val="22"/>
          <w:szCs w:val="22"/>
          <w:color w:val="auto"/>
        </w:rPr>
      </w:pPr>
    </w:p>
    <w:p>
      <w:pPr>
        <w:ind w:left="340" w:hanging="332"/>
        <w:spacing w:after="0" w:line="305" w:lineRule="auto"/>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Non-Disparagement</w:t>
      </w:r>
      <w:r>
        <w:rPr>
          <w:rFonts w:ascii="Arial" w:cs="Arial" w:eastAsia="Arial" w:hAnsi="Arial"/>
          <w:sz w:val="19"/>
          <w:szCs w:val="19"/>
          <w:color w:val="auto"/>
        </w:rPr>
        <w:t>. Except as required by law, Executive agrees not to make, publish or issue, or cause to be made,</w:t>
      </w:r>
      <w:r>
        <w:rPr>
          <w:rFonts w:ascii="Arial" w:cs="Arial" w:eastAsia="Arial" w:hAnsi="Arial"/>
          <w:sz w:val="19"/>
          <w:szCs w:val="19"/>
          <w:b w:val="1"/>
          <w:bCs w:val="1"/>
          <w:color w:val="auto"/>
        </w:rPr>
        <w:t xml:space="preserve"> </w:t>
      </w:r>
      <w:r>
        <w:rPr>
          <w:rFonts w:ascii="Arial" w:cs="Arial" w:eastAsia="Arial" w:hAnsi="Arial"/>
          <w:sz w:val="19"/>
          <w:szCs w:val="19"/>
          <w:color w:val="auto"/>
        </w:rPr>
        <w:t>published or issued, any untrue, disparaging or derogatory statements concerning the Company or any Releasee.</w:t>
      </w:r>
    </w:p>
    <w:p>
      <w:pPr>
        <w:spacing w:after="0" w:line="92" w:lineRule="exact"/>
        <w:rPr>
          <w:rFonts w:ascii="Arial" w:cs="Arial" w:eastAsia="Arial" w:hAnsi="Arial"/>
          <w:sz w:val="19"/>
          <w:szCs w:val="19"/>
          <w:color w:val="auto"/>
        </w:rPr>
      </w:pPr>
    </w:p>
    <w:p>
      <w:pPr>
        <w:ind w:left="340" w:right="20" w:hanging="332"/>
        <w:spacing w:after="0" w:line="235" w:lineRule="auto"/>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Medicare Representation</w:t>
      </w:r>
      <w:r>
        <w:rPr>
          <w:rFonts w:ascii="Arial" w:cs="Arial" w:eastAsia="Arial" w:hAnsi="Arial"/>
          <w:sz w:val="22"/>
          <w:szCs w:val="22"/>
          <w:color w:val="auto"/>
        </w:rPr>
        <w:t>. Executive warrants that Executive is not a Medicare beneficiary as of the date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therefore, no conditional payments are required to be made to Medicare.</w:t>
      </w:r>
    </w:p>
    <w:p>
      <w:pPr>
        <w:spacing w:after="0" w:line="152" w:lineRule="exact"/>
        <w:rPr>
          <w:rFonts w:ascii="Arial" w:cs="Arial" w:eastAsia="Arial" w:hAnsi="Arial"/>
          <w:sz w:val="22"/>
          <w:szCs w:val="22"/>
          <w:color w:val="auto"/>
        </w:rPr>
      </w:pPr>
    </w:p>
    <w:p>
      <w:pPr>
        <w:jc w:val="both"/>
        <w:ind w:left="340" w:hanging="332"/>
        <w:spacing w:after="0" w:line="250" w:lineRule="auto"/>
        <w:tabs>
          <w:tab w:leader="none" w:pos="340"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Tax Code Section 409A</w:t>
      </w:r>
      <w:r>
        <w:rPr>
          <w:rFonts w:ascii="Arial" w:cs="Arial" w:eastAsia="Arial" w:hAnsi="Arial"/>
          <w:sz w:val="19"/>
          <w:szCs w:val="19"/>
          <w:color w:val="auto"/>
        </w:rPr>
        <w:t>. This Agreement is intended to comply with Section 409A of the Internal Revenue Code and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operated in good-faith compliance with Section 409A and the guidance issued thereunder notwithstanding any provision of this Agreement to the contrary. To the extent that either party believes that any payment to be made hereunder is likely to result in the imposition of the excise taxes applicable under Section 409A of the Internal Revenue Code and the regulations issued thereunder, the parties agree to negotiate in good faith to restructure the timing and form (but not the amount) of any nonconforming payments to the extent necessary to avoid any such excise taxes</w:t>
      </w:r>
    </w:p>
    <w:p>
      <w:pPr>
        <w:spacing w:after="0" w:line="146" w:lineRule="exact"/>
        <w:rPr>
          <w:rFonts w:ascii="Arial" w:cs="Arial" w:eastAsia="Arial" w:hAnsi="Arial"/>
          <w:sz w:val="19"/>
          <w:szCs w:val="19"/>
          <w:color w:val="auto"/>
        </w:rPr>
      </w:pPr>
    </w:p>
    <w:p>
      <w:pPr>
        <w:jc w:val="both"/>
        <w:ind w:left="340" w:hanging="332"/>
        <w:spacing w:after="0" w:line="236" w:lineRule="auto"/>
        <w:tabs>
          <w:tab w:leader="none" w:pos="34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Forum Selection</w:t>
      </w:r>
      <w:r>
        <w:rPr>
          <w:rFonts w:ascii="Arial" w:cs="Arial" w:eastAsia="Arial" w:hAnsi="Arial"/>
          <w:sz w:val="21"/>
          <w:szCs w:val="21"/>
          <w:color w:val="auto"/>
        </w:rPr>
        <w:t>. Any action arising out of this Agreement or an alleged breach of this Agreement shall be brought only in</w:t>
      </w:r>
      <w:r>
        <w:rPr>
          <w:rFonts w:ascii="Arial" w:cs="Arial" w:eastAsia="Arial" w:hAnsi="Arial"/>
          <w:sz w:val="21"/>
          <w:szCs w:val="21"/>
          <w:b w:val="1"/>
          <w:bCs w:val="1"/>
          <w:color w:val="auto"/>
        </w:rPr>
        <w:t xml:space="preserve"> </w:t>
      </w:r>
      <w:r>
        <w:rPr>
          <w:rFonts w:ascii="Arial" w:cs="Arial" w:eastAsia="Arial" w:hAnsi="Arial"/>
          <w:sz w:val="21"/>
          <w:szCs w:val="21"/>
          <w:color w:val="auto"/>
        </w:rPr>
        <w:t>the courts of the County of New York in the State of New York. Unless otherwise ordered by the Court, only the provisions of this Agreement in dispute or alleged to have been breached shall be disclosed in any such action.</w:t>
      </w:r>
    </w:p>
    <w:p>
      <w:pPr>
        <w:spacing w:after="0" w:line="151" w:lineRule="exact"/>
        <w:rPr>
          <w:rFonts w:ascii="Arial" w:cs="Arial" w:eastAsia="Arial" w:hAnsi="Arial"/>
          <w:sz w:val="21"/>
          <w:szCs w:val="21"/>
          <w:color w:val="auto"/>
        </w:rPr>
      </w:pPr>
    </w:p>
    <w:p>
      <w:pPr>
        <w:ind w:left="340" w:hanging="332"/>
        <w:spacing w:after="0" w:line="235" w:lineRule="auto"/>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Applicable Law</w:t>
      </w:r>
      <w:r>
        <w:rPr>
          <w:rFonts w:ascii="Arial" w:cs="Arial" w:eastAsia="Arial" w:hAnsi="Arial"/>
          <w:sz w:val="22"/>
          <w:szCs w:val="22"/>
          <w:color w:val="auto"/>
        </w:rPr>
        <w:t>. This Agreement shall be governed, interpreted and enforced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Delaware (where Ross is incorporated) without regard to its conflict or choice of law provisions.</w:t>
      </w:r>
    </w:p>
    <w:p>
      <w:pPr>
        <w:spacing w:after="0" w:line="152" w:lineRule="exact"/>
        <w:rPr>
          <w:rFonts w:ascii="Arial" w:cs="Arial" w:eastAsia="Arial" w:hAnsi="Arial"/>
          <w:sz w:val="22"/>
          <w:szCs w:val="22"/>
          <w:color w:val="auto"/>
        </w:rPr>
      </w:pPr>
    </w:p>
    <w:p>
      <w:pPr>
        <w:ind w:left="340" w:right="20" w:hanging="332"/>
        <w:spacing w:after="0" w:line="235" w:lineRule="auto"/>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part of this Agreement is found to be invalid or unenforceable, the remaining parts of the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remain in effect as if no invalid or unenforceable part existed.</w:t>
      </w:r>
    </w:p>
    <w:p>
      <w:pPr>
        <w:spacing w:after="0" w:line="152" w:lineRule="exact"/>
        <w:rPr>
          <w:rFonts w:ascii="Arial" w:cs="Arial" w:eastAsia="Arial" w:hAnsi="Arial"/>
          <w:sz w:val="22"/>
          <w:szCs w:val="22"/>
          <w:color w:val="auto"/>
        </w:rPr>
      </w:pPr>
    </w:p>
    <w:p>
      <w:pPr>
        <w:jc w:val="both"/>
        <w:ind w:left="340" w:hanging="332"/>
        <w:spacing w:after="0" w:line="230" w:lineRule="auto"/>
        <w:tabs>
          <w:tab w:leader="none" w:pos="340" w:val="left"/>
        </w:tabs>
        <w:numPr>
          <w:ilvl w:val="0"/>
          <w:numId w:val="54"/>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sets forth the entire agreement between the parties hereto, and fully supersedes all prior</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agreements or, promises and understandings between the parties, except that the terms set forth in Section 5 (Confidential Information and Intellectual Property), Section 9 (Certain Employment Obligations), Section 10 (Company Remedies for Executive’s Breach of Certain Obligations), Section 11 (Exercise of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54" w:name="page55"/>
    <w:bookmarkEnd w:id="54"/>
    <w:p>
      <w:pPr>
        <w:jc w:val="both"/>
        <w:ind w:left="340"/>
        <w:spacing w:after="0" w:line="246" w:lineRule="auto"/>
        <w:rPr>
          <w:sz w:val="20"/>
          <w:szCs w:val="20"/>
          <w:color w:val="auto"/>
        </w:rPr>
      </w:pPr>
      <w:r>
        <w:rPr>
          <w:rFonts w:ascii="Arial" w:cs="Arial" w:eastAsia="Arial" w:hAnsi="Arial"/>
          <w:sz w:val="19"/>
          <w:szCs w:val="19"/>
          <w:color w:val="auto"/>
        </w:rPr>
        <w:t>Options Following Termination), Section 13 (Insurance and Indemnity), and Section 17 (Mitigation) of the Executive Agreement shall remain in full force and effect in accordance with its terms. In the event of any inconsistency between the terms of this Agreement and the aforementioned surviving terms of the Employment Agreement, the terms of this Agreement shall prevail. This Agreement may not be modified except in a writing agreed to and signed by both parties, providing however that Ross may modify this form of agreement from time to time solely as needed to comply with federal, state, or local laws in effect at the time this Agreement is to be executed. Executive represents that Executive has not relied on any representations, promises, or agreements of any kind made to Executive in connection with Executive’s decision to accept this Agreement except for those set forth in this Agreement.</w:t>
      </w:r>
    </w:p>
    <w:p>
      <w:pPr>
        <w:spacing w:after="0" w:line="146" w:lineRule="exact"/>
        <w:rPr>
          <w:sz w:val="20"/>
          <w:szCs w:val="20"/>
          <w:color w:val="auto"/>
        </w:rPr>
      </w:pPr>
    </w:p>
    <w:p>
      <w:pPr>
        <w:jc w:val="both"/>
        <w:ind w:left="340" w:hanging="332"/>
        <w:spacing w:after="0" w:line="220" w:lineRule="auto"/>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counterparts, each of which shall be deemed an original,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so executed shall constitute one agreement binding on all of the parties hereto. The Agreement may be signed and transmitted electronically, and such signatures shall be binding and deemed originals for purposes of enforcing this Agreement.</w:t>
      </w:r>
    </w:p>
    <w:p>
      <w:pPr>
        <w:spacing w:after="0" w:line="152" w:lineRule="exact"/>
        <w:rPr>
          <w:rFonts w:ascii="Arial" w:cs="Arial" w:eastAsia="Arial" w:hAnsi="Arial"/>
          <w:sz w:val="22"/>
          <w:szCs w:val="22"/>
          <w:color w:val="auto"/>
        </w:rPr>
      </w:pPr>
    </w:p>
    <w:p>
      <w:pPr>
        <w:ind w:left="340" w:hanging="332"/>
        <w:spacing w:after="0" w:line="235" w:lineRule="auto"/>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Advice of Counsel</w:t>
      </w:r>
      <w:r>
        <w:rPr>
          <w:rFonts w:ascii="Arial" w:cs="Arial" w:eastAsia="Arial" w:hAnsi="Arial"/>
          <w:sz w:val="22"/>
          <w:szCs w:val="22"/>
          <w:color w:val="auto"/>
        </w:rPr>
        <w:t>. Executive is advised to discuss this Agreement with an attorney of Executive’s choice and acknowledges</w:t>
      </w:r>
      <w:r>
        <w:rPr>
          <w:rFonts w:ascii="Arial" w:cs="Arial" w:eastAsia="Arial" w:hAnsi="Arial"/>
          <w:sz w:val="22"/>
          <w:szCs w:val="22"/>
          <w:b w:val="1"/>
          <w:bCs w:val="1"/>
          <w:color w:val="auto"/>
        </w:rPr>
        <w:t xml:space="preserve"> </w:t>
      </w:r>
      <w:r>
        <w:rPr>
          <w:rFonts w:ascii="Arial" w:cs="Arial" w:eastAsia="Arial" w:hAnsi="Arial"/>
          <w:sz w:val="22"/>
          <w:szCs w:val="22"/>
          <w:color w:val="auto"/>
        </w:rPr>
        <w:t>that Executive has been given ample opportunity to do so and has, in fact, done so.</w:t>
      </w:r>
    </w:p>
    <w:p>
      <w:pPr>
        <w:spacing w:after="0" w:line="152" w:lineRule="exact"/>
        <w:rPr>
          <w:rFonts w:ascii="Arial" w:cs="Arial" w:eastAsia="Arial" w:hAnsi="Arial"/>
          <w:sz w:val="22"/>
          <w:szCs w:val="22"/>
          <w:color w:val="auto"/>
        </w:rPr>
      </w:pPr>
    </w:p>
    <w:p>
      <w:pPr>
        <w:jc w:val="both"/>
        <w:ind w:left="340" w:hanging="332"/>
        <w:spacing w:after="0" w:line="225" w:lineRule="auto"/>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b w:val="1"/>
          <w:bCs w:val="1"/>
          <w:color w:val="auto"/>
        </w:rPr>
        <w:t>Knowing and Voluntary</w:t>
      </w:r>
      <w:r>
        <w:rPr>
          <w:rFonts w:ascii="Arial" w:cs="Arial" w:eastAsia="Arial" w:hAnsi="Arial"/>
          <w:sz w:val="22"/>
          <w:szCs w:val="22"/>
          <w:color w:val="auto"/>
        </w:rPr>
        <w:t>. Executive acknowledges that Executive is entering into this Agreement freely, knowingly and</w:t>
      </w:r>
      <w:r>
        <w:rPr>
          <w:rFonts w:ascii="Arial" w:cs="Arial" w:eastAsia="Arial" w:hAnsi="Arial"/>
          <w:sz w:val="22"/>
          <w:szCs w:val="22"/>
          <w:b w:val="1"/>
          <w:bCs w:val="1"/>
          <w:color w:val="auto"/>
        </w:rPr>
        <w:t xml:space="preserve"> </w:t>
      </w:r>
      <w:r>
        <w:rPr>
          <w:rFonts w:ascii="Arial" w:cs="Arial" w:eastAsia="Arial" w:hAnsi="Arial"/>
          <w:sz w:val="22"/>
          <w:szCs w:val="22"/>
          <w:color w:val="auto"/>
        </w:rPr>
        <w:t>voluntarily, without duress or coercion, and with a full understanding of its terms. Executive further acknowledges that Executive</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Has carefully read and understands this Agreement;</w:t>
      </w:r>
    </w:p>
    <w:p>
      <w:pPr>
        <w:spacing w:after="0" w:line="179" w:lineRule="exact"/>
        <w:rPr>
          <w:rFonts w:ascii="Arial" w:cs="Arial" w:eastAsia="Arial" w:hAnsi="Arial"/>
          <w:sz w:val="22"/>
          <w:szCs w:val="22"/>
          <w:color w:val="auto"/>
        </w:rPr>
      </w:pPr>
    </w:p>
    <w:p>
      <w:pPr>
        <w:jc w:val="both"/>
        <w:ind w:left="1300" w:hanging="644"/>
        <w:spacing w:after="0" w:line="223" w:lineRule="auto"/>
        <w:tabs>
          <w:tab w:leader="none" w:pos="1295" w:val="left"/>
        </w:tabs>
        <w:numPr>
          <w:ilvl w:val="1"/>
          <w:numId w:val="55"/>
        </w:numPr>
        <w:rPr>
          <w:rFonts w:ascii="Arial" w:cs="Arial" w:eastAsia="Arial" w:hAnsi="Arial"/>
          <w:sz w:val="22"/>
          <w:szCs w:val="22"/>
          <w:color w:val="auto"/>
        </w:rPr>
      </w:pPr>
      <w:r>
        <w:rPr>
          <w:rFonts w:ascii="Arial" w:cs="Arial" w:eastAsia="Arial" w:hAnsi="Arial"/>
          <w:sz w:val="22"/>
          <w:szCs w:val="22"/>
          <w:color w:val="auto"/>
        </w:rPr>
        <w:t>Is, through this Agreement, releasing Ross from any and all claims Executive may have against it that have arisen prior to or as of the date of this Agreement, including but not limited to, rights or claims arising under the Age Discrimination in Employment Act of 1967;</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Knowingly and voluntarily agrees to all of the terms set forth in this Agreement; and</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1"/>
          <w:numId w:val="55"/>
        </w:numPr>
        <w:rPr>
          <w:rFonts w:ascii="Arial" w:cs="Arial" w:eastAsia="Arial" w:hAnsi="Arial"/>
          <w:sz w:val="22"/>
          <w:szCs w:val="22"/>
          <w:color w:val="auto"/>
        </w:rPr>
      </w:pPr>
      <w:r>
        <w:rPr>
          <w:rFonts w:ascii="Arial" w:cs="Arial" w:eastAsia="Arial" w:hAnsi="Arial"/>
          <w:sz w:val="22"/>
          <w:szCs w:val="22"/>
          <w:color w:val="auto"/>
        </w:rPr>
        <w:t>Knowingly and voluntarily intends to be legally bound by the terms of this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subparagraphs shall be applicable only if Executive is forty years of age or older at the time Executive</w:t>
      </w:r>
    </w:p>
    <w:p>
      <w:pPr>
        <w:ind w:left="660"/>
        <w:spacing w:after="0" w:line="219" w:lineRule="auto"/>
        <w:rPr>
          <w:sz w:val="20"/>
          <w:szCs w:val="20"/>
          <w:color w:val="auto"/>
        </w:rPr>
      </w:pPr>
      <w:r>
        <w:rPr>
          <w:rFonts w:ascii="Arial" w:cs="Arial" w:eastAsia="Arial" w:hAnsi="Arial"/>
          <w:sz w:val="22"/>
          <w:szCs w:val="22"/>
          <w:color w:val="auto"/>
        </w:rPr>
        <w:t>signs this Agreement</w:t>
      </w:r>
    </w:p>
    <w:p>
      <w:pPr>
        <w:ind w:left="660"/>
        <w:spacing w:after="0" w:line="205" w:lineRule="auto"/>
        <w:rPr>
          <w:sz w:val="20"/>
          <w:szCs w:val="20"/>
          <w:color w:val="auto"/>
        </w:rPr>
      </w:pPr>
      <w:r>
        <w:rPr>
          <w:rFonts w:ascii="Arial" w:cs="Arial" w:eastAsia="Arial" w:hAnsi="Arial"/>
          <w:sz w:val="22"/>
          <w:szCs w:val="22"/>
          <w:color w:val="auto"/>
        </w:rPr>
        <w:t>.</w:t>
      </w:r>
    </w:p>
    <w:p>
      <w:pPr>
        <w:spacing w:after="0" w:line="1" w:lineRule="exact"/>
        <w:rPr>
          <w:sz w:val="20"/>
          <w:szCs w:val="20"/>
          <w:color w:val="auto"/>
        </w:rPr>
      </w:pPr>
    </w:p>
    <w:p>
      <w:pPr>
        <w:jc w:val="both"/>
        <w:ind w:left="1300" w:hanging="644"/>
        <w:spacing w:after="0" w:line="258" w:lineRule="auto"/>
        <w:tabs>
          <w:tab w:leader="none" w:pos="1297"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Executive has been given a full twenty-one (21) days within which to consider the terms of this Agreement and consult with an attorney of Executive's choice and, to the extent Executive executes this Agreement prior to expiration of the full twenty-one (21) days, Executive knowingly and voluntarily waives that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55" w:name="page56"/>
    <w:bookmarkEnd w:id="55"/>
    <w:p>
      <w:pPr>
        <w:jc w:val="both"/>
        <w:ind w:left="644" w:hanging="644"/>
        <w:spacing w:after="0" w:line="224" w:lineRule="auto"/>
        <w:tabs>
          <w:tab w:leader="none" w:pos="644"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Executive has a full seven (7) days following the execution of this Agreement to revoke this Agreement (the </w:t>
      </w:r>
      <w:r>
        <w:rPr>
          <w:rFonts w:ascii="Arial" w:cs="Arial" w:eastAsia="Arial" w:hAnsi="Arial"/>
          <w:sz w:val="21"/>
          <w:szCs w:val="21"/>
          <w:u w:val="single" w:color="auto"/>
          <w:color w:val="auto"/>
        </w:rPr>
        <w:t>“Revocation Period</w:t>
      </w:r>
      <w:r>
        <w:rPr>
          <w:rFonts w:ascii="Arial" w:cs="Arial" w:eastAsia="Arial" w:hAnsi="Arial"/>
          <w:sz w:val="21"/>
          <w:szCs w:val="21"/>
          <w:color w:val="auto"/>
        </w:rPr>
        <w:t>") by providing written revocation notice to the Company’s General Counsel or such other person as the Company designates. The revocation must be personally delivered or mailed to the General Counsel or such other person as the Company designates at 1372 Broadway New York, NY 10018 and postmarked within seven (7) calendar days of Executive’s execution of this Agreement. This Agreement shall not become effective or enforceable until the Revocation Period has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01" w:right="339" w:bottom="1440" w:gutter="0" w:footer="0" w:header="0"/>
        </w:sectPr>
      </w:pPr>
    </w:p>
    <w:bookmarkStart w:id="56" w:name="page57"/>
    <w:bookmarkEnd w:id="56"/>
    <w:p>
      <w:pPr>
        <w:spacing w:after="0"/>
        <w:rPr>
          <w:sz w:val="20"/>
          <w:szCs w:val="20"/>
          <w:color w:val="auto"/>
        </w:rPr>
      </w:pPr>
      <w:r>
        <w:rPr>
          <w:rFonts w:ascii="Arial" w:cs="Arial" w:eastAsia="Arial" w:hAnsi="Arial"/>
          <w:sz w:val="19"/>
          <w:szCs w:val="19"/>
          <w:color w:val="auto"/>
        </w:rPr>
        <w:t>The parties hereto have knowingly and voluntarily executed this Agreement as of the date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0"/>
                <w:szCs w:val="20"/>
                <w:color w:val="auto"/>
              </w:rPr>
            </w:pPr>
            <w:r>
              <w:rPr>
                <w:rFonts w:ascii="Arial" w:cs="Arial" w:eastAsia="Arial" w:hAnsi="Arial"/>
                <w:sz w:val="22"/>
                <w:szCs w:val="22"/>
                <w:color w:val="auto"/>
                <w:w w:val="90"/>
              </w:rPr>
              <w:t>Dated: _______________________</w:t>
            </w:r>
          </w:p>
        </w:tc>
        <w:tc>
          <w:tcPr>
            <w:tcW w:w="3720" w:type="dxa"/>
            <w:vAlign w:val="bottom"/>
          </w:tcPr>
          <w:p>
            <w:pPr>
              <w:ind w:left="120"/>
              <w:spacing w:after="0"/>
              <w:rPr>
                <w:sz w:val="20"/>
                <w:szCs w:val="20"/>
                <w:color w:val="auto"/>
              </w:rPr>
            </w:pPr>
            <w:r>
              <w:rPr>
                <w:rFonts w:ascii="Arial" w:cs="Arial" w:eastAsia="Arial" w:hAnsi="Arial"/>
                <w:sz w:val="22"/>
                <w:szCs w:val="22"/>
                <w:color w:val="auto"/>
                <w:w w:val="89"/>
              </w:rPr>
              <w:t>By:______________________________</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line="216" w:lineRule="exact"/>
              <w:rPr>
                <w:sz w:val="20"/>
                <w:szCs w:val="20"/>
                <w:color w:val="auto"/>
              </w:rPr>
            </w:pPr>
            <w:r>
              <w:rPr>
                <w:rFonts w:ascii="Arial" w:cs="Arial" w:eastAsia="Arial" w:hAnsi="Arial"/>
                <w:sz w:val="22"/>
                <w:szCs w:val="22"/>
                <w:color w:val="auto"/>
              </w:rPr>
              <w:t>[Executive’s Name]</w:t>
            </w:r>
          </w:p>
        </w:tc>
        <w:tc>
          <w:tcPr>
            <w:tcW w:w="3720" w:type="dxa"/>
            <w:vAlign w:val="bottom"/>
            <w:vMerge w:val="restart"/>
          </w:tcPr>
          <w:p>
            <w:pPr>
              <w:ind w:left="180"/>
              <w:spacing w:after="0"/>
              <w:rPr>
                <w:sz w:val="20"/>
                <w:szCs w:val="20"/>
                <w:color w:val="auto"/>
              </w:rPr>
            </w:pPr>
            <w:r>
              <w:rPr>
                <w:rFonts w:ascii="Arial" w:cs="Arial" w:eastAsia="Arial" w:hAnsi="Arial"/>
                <w:sz w:val="22"/>
                <w:szCs w:val="22"/>
                <w:color w:val="auto"/>
                <w:w w:val="88"/>
              </w:rPr>
              <w:t>By:______________________________</w:t>
            </w:r>
          </w:p>
        </w:tc>
        <w:tc>
          <w:tcPr>
            <w:tcW w:w="0" w:type="dxa"/>
            <w:vAlign w:val="bottom"/>
          </w:tcPr>
          <w:p>
            <w:pPr>
              <w:spacing w:after="0"/>
              <w:rPr>
                <w:sz w:val="1"/>
                <w:szCs w:val="1"/>
                <w:color w:val="auto"/>
              </w:rPr>
            </w:pPr>
          </w:p>
        </w:tc>
      </w:tr>
      <w:tr>
        <w:trPr>
          <w:trHeight w:val="216"/>
        </w:trPr>
        <w:tc>
          <w:tcPr>
            <w:tcW w:w="3220" w:type="dxa"/>
            <w:vAlign w:val="bottom"/>
          </w:tcPr>
          <w:p>
            <w:pPr>
              <w:spacing w:after="0" w:line="216" w:lineRule="exact"/>
              <w:rPr>
                <w:sz w:val="20"/>
                <w:szCs w:val="20"/>
                <w:color w:val="auto"/>
              </w:rPr>
            </w:pPr>
            <w:r>
              <w:rPr>
                <w:rFonts w:ascii="Arial" w:cs="Arial" w:eastAsia="Arial" w:hAnsi="Arial"/>
                <w:sz w:val="22"/>
                <w:szCs w:val="22"/>
                <w:color w:val="auto"/>
                <w:w w:val="90"/>
              </w:rPr>
              <w:t>Dated: _______________________</w:t>
            </w:r>
          </w:p>
        </w:tc>
        <w:tc>
          <w:tcPr>
            <w:tcW w:w="3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3720" w:type="dxa"/>
            <w:vAlign w:val="bottom"/>
          </w:tcPr>
          <w:p>
            <w:pPr>
              <w:ind w:left="1540"/>
              <w:spacing w:after="0" w:line="216" w:lineRule="exact"/>
              <w:rPr>
                <w:sz w:val="20"/>
                <w:szCs w:val="20"/>
                <w:color w:val="auto"/>
              </w:rPr>
            </w:pPr>
            <w:r>
              <w:rPr>
                <w:rFonts w:ascii="Arial" w:cs="Arial" w:eastAsia="Arial" w:hAnsi="Arial"/>
                <w:sz w:val="22"/>
                <w:szCs w:val="22"/>
                <w:color w:val="auto"/>
              </w:rPr>
              <w:t>Ross Stores, Inc. and</w:t>
            </w:r>
          </w:p>
        </w:tc>
        <w:tc>
          <w:tcPr>
            <w:tcW w:w="0" w:type="dxa"/>
            <w:vAlign w:val="bottom"/>
          </w:tcPr>
          <w:p>
            <w:pPr>
              <w:spacing w:after="0"/>
              <w:rPr>
                <w:sz w:val="1"/>
                <w:szCs w:val="1"/>
                <w:color w:val="auto"/>
              </w:rPr>
            </w:pPr>
          </w:p>
        </w:tc>
      </w:tr>
      <w:tr>
        <w:trPr>
          <w:trHeight w:val="274"/>
        </w:trPr>
        <w:tc>
          <w:tcPr>
            <w:tcW w:w="3220" w:type="dxa"/>
            <w:vAlign w:val="bottom"/>
          </w:tcPr>
          <w:p>
            <w:pPr>
              <w:spacing w:after="0"/>
              <w:rPr>
                <w:sz w:val="23"/>
                <w:szCs w:val="23"/>
                <w:color w:val="auto"/>
              </w:rPr>
            </w:pPr>
          </w:p>
        </w:tc>
        <w:tc>
          <w:tcPr>
            <w:tcW w:w="3720" w:type="dxa"/>
            <w:vAlign w:val="bottom"/>
          </w:tcPr>
          <w:p>
            <w:pPr>
              <w:ind w:left="1540"/>
              <w:spacing w:after="0"/>
              <w:rPr>
                <w:sz w:val="20"/>
                <w:szCs w:val="20"/>
                <w:color w:val="auto"/>
              </w:rPr>
            </w:pPr>
            <w:r>
              <w:rPr>
                <w:rFonts w:ascii="Arial" w:cs="Arial" w:eastAsia="Arial" w:hAnsi="Arial"/>
                <w:sz w:val="22"/>
                <w:szCs w:val="22"/>
                <w:color w:val="auto"/>
              </w:rPr>
              <w:t>Subsidiaries (“Ross”)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39"/>
          </w:cols>
          <w:pgMar w:left="320" w:top="1401" w:right="1440"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15</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Ross Stores,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5130 Hacienda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Dublin, CA 94568</w:t>
      </w:r>
    </w:p>
    <w:p>
      <w:pPr>
        <w:spacing w:after="0" w:line="25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We are aware that our report dated September 5, 2023, on our review of the interim financial information of Ross Stores, Inc. appearing in this Quarterly Report on Form 10-Q for the quarter ende</w:t>
      </w:r>
      <w:r>
        <w:rPr>
          <w:rFonts w:ascii="Arial" w:cs="Arial" w:eastAsia="Arial" w:hAnsi="Arial"/>
          <w:sz w:val="19"/>
          <w:szCs w:val="19"/>
          <w:color w:val="auto"/>
        </w:rPr>
        <w:t>d</w:t>
      </w:r>
      <w:r>
        <w:rPr>
          <w:rFonts w:ascii="Arial" w:cs="Arial" w:eastAsia="Arial" w:hAnsi="Arial"/>
          <w:sz w:val="18"/>
          <w:szCs w:val="18"/>
          <w:color w:val="auto"/>
        </w:rPr>
        <w:t xml:space="preserve"> July 29, 2023, is incorporated by reference in Registration Statements Nos. 333-115836, 333-151116, 333-210465, and 333-218052 on Form S-8.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ectPr>
          <w:pgSz w:w="11900" w:h="16838" w:orient="portrait"/>
          <w:cols w:equalWidth="0" w:num="1">
            <w:col w:w="11240"/>
          </w:cols>
          <w:pgMar w:left="320" w:top="14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31.1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Ross Stores,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Sarbanes-Oxley Act Section 302(a)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Barbara Rentler, certify that:</w:t>
      </w:r>
    </w:p>
    <w:p>
      <w:pPr>
        <w:spacing w:after="0" w:line="252"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Ross Stores, Inc.;</w:t>
      </w:r>
    </w:p>
    <w:p>
      <w:pPr>
        <w:spacing w:after="0" w:line="252" w:lineRule="exact"/>
        <w:rPr>
          <w:rFonts w:ascii="Arial" w:cs="Arial" w:eastAsia="Arial" w:hAnsi="Arial"/>
          <w:sz w:val="18"/>
          <w:szCs w:val="18"/>
          <w:color w:val="auto"/>
        </w:rPr>
      </w:pPr>
    </w:p>
    <w:p>
      <w:pPr>
        <w:ind w:left="340" w:right="60" w:hanging="332"/>
        <w:spacing w:after="0" w:line="263"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140" w:hanging="332"/>
        <w:spacing w:after="0" w:line="306" w:lineRule="auto"/>
        <w:tabs>
          <w:tab w:leader="none" w:pos="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left="340" w:right="120" w:hanging="332"/>
        <w:spacing w:after="0" w:line="272" w:lineRule="auto"/>
        <w:tabs>
          <w:tab w:leader="none" w:pos="3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7"/>
          <w:szCs w:val="17"/>
          <w:color w:val="auto"/>
        </w:rPr>
      </w:pPr>
    </w:p>
    <w:p>
      <w:pPr>
        <w:ind w:left="660" w:right="40" w:hanging="328"/>
        <w:spacing w:after="0" w:line="263"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20" w:hanging="332"/>
        <w:spacing w:after="0" w:line="263"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right="260" w:hanging="328"/>
        <w:spacing w:after="0" w:line="275"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right="480" w:hanging="328"/>
        <w:spacing w:after="0" w:line="275" w:lineRule="auto"/>
        <w:tabs>
          <w:tab w:leader="none" w:pos="6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Date:  September 5, 2023</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/s/Barbara Rentler</w:t>
            </w:r>
          </w:p>
        </w:tc>
      </w:tr>
      <w:tr>
        <w:trPr>
          <w:trHeight w:val="223"/>
        </w:trPr>
        <w:tc>
          <w:tcPr>
            <w:tcW w:w="77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Barbara Rentler</w:t>
            </w:r>
          </w:p>
        </w:tc>
      </w:tr>
      <w:tr>
        <w:trPr>
          <w:trHeight w:val="229"/>
        </w:trPr>
        <w:tc>
          <w:tcPr>
            <w:tcW w:w="7720" w:type="dxa"/>
            <w:vAlign w:val="bottom"/>
          </w:tcPr>
          <w:p>
            <w:pPr>
              <w:spacing w:after="0"/>
              <w:rPr>
                <w:sz w:val="19"/>
                <w:szCs w:val="19"/>
                <w:color w:val="auto"/>
              </w:rPr>
            </w:pPr>
          </w:p>
        </w:tc>
        <w:tc>
          <w:tcPr>
            <w:tcW w:w="34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886"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31.2</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Ross Stores,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Sarbanes-Oxley Act Section 302(a)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Adam Orvos, certify that:</w:t>
      </w:r>
    </w:p>
    <w:p>
      <w:pPr>
        <w:spacing w:after="0" w:line="252"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Ross Stores, Inc.;</w:t>
      </w:r>
    </w:p>
    <w:p>
      <w:pPr>
        <w:spacing w:after="0" w:line="252" w:lineRule="exact"/>
        <w:rPr>
          <w:rFonts w:ascii="Arial" w:cs="Arial" w:eastAsia="Arial" w:hAnsi="Arial"/>
          <w:sz w:val="18"/>
          <w:szCs w:val="18"/>
          <w:color w:val="auto"/>
        </w:rPr>
      </w:pPr>
    </w:p>
    <w:p>
      <w:pPr>
        <w:ind w:left="340" w:right="60" w:hanging="332"/>
        <w:spacing w:after="0" w:line="263"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140" w:hanging="332"/>
        <w:spacing w:after="0" w:line="306" w:lineRule="auto"/>
        <w:tabs>
          <w:tab w:leader="none" w:pos="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left="340" w:right="120" w:hanging="332"/>
        <w:spacing w:after="0" w:line="272" w:lineRule="auto"/>
        <w:tabs>
          <w:tab w:leader="none" w:pos="3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40" w:lineRule="exact"/>
        <w:rPr>
          <w:rFonts w:ascii="Arial" w:cs="Arial" w:eastAsia="Arial" w:hAnsi="Arial"/>
          <w:sz w:val="17"/>
          <w:szCs w:val="17"/>
          <w:color w:val="auto"/>
        </w:rPr>
      </w:pPr>
    </w:p>
    <w:p>
      <w:pPr>
        <w:ind w:left="660" w:right="40" w:hanging="328"/>
        <w:spacing w:after="0" w:line="263"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20" w:hanging="332"/>
        <w:spacing w:after="0" w:line="263" w:lineRule="auto"/>
        <w:tabs>
          <w:tab w:leader="none" w:pos="3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660" w:right="260" w:hanging="328"/>
        <w:spacing w:after="0" w:line="275"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8"/>
          <w:szCs w:val="18"/>
          <w:color w:val="auto"/>
        </w:rPr>
      </w:pPr>
    </w:p>
    <w:p>
      <w:pPr>
        <w:ind w:left="660" w:right="480" w:hanging="328"/>
        <w:spacing w:after="0" w:line="275" w:lineRule="auto"/>
        <w:tabs>
          <w:tab w:leader="none" w:pos="65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229"/>
        </w:trPr>
        <w:tc>
          <w:tcPr>
            <w:tcW w:w="5460" w:type="dxa"/>
            <w:vAlign w:val="bottom"/>
          </w:tcPr>
          <w:p>
            <w:pPr>
              <w:spacing w:after="0"/>
              <w:rPr>
                <w:sz w:val="20"/>
                <w:szCs w:val="20"/>
                <w:color w:val="auto"/>
              </w:rPr>
            </w:pPr>
            <w:r>
              <w:rPr>
                <w:rFonts w:ascii="Arial" w:cs="Arial" w:eastAsia="Arial" w:hAnsi="Arial"/>
                <w:sz w:val="18"/>
                <w:szCs w:val="18"/>
                <w:color w:val="auto"/>
              </w:rPr>
              <w:t>Date:  September 5, 2023</w:t>
            </w: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/s/Adam Orvos</w:t>
            </w:r>
          </w:p>
        </w:tc>
      </w:tr>
      <w:tr>
        <w:trPr>
          <w:trHeight w:val="223"/>
        </w:trPr>
        <w:tc>
          <w:tcPr>
            <w:tcW w:w="54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Adam Orvos</w:t>
            </w:r>
          </w:p>
        </w:tc>
      </w:tr>
      <w:tr>
        <w:trPr>
          <w:trHeight w:val="229"/>
        </w:trPr>
        <w:tc>
          <w:tcPr>
            <w:tcW w:w="546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bl>
    <w:p>
      <w:pPr>
        <w:sectPr>
          <w:pgSz w:w="11900" w:h="16838" w:orient="portrait"/>
          <w:cols w:equalWidth="0" w:num="1">
            <w:col w:w="11220"/>
          </w:cols>
          <w:pgMar w:left="320" w:top="886"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 32.1</w:t>
      </w:r>
    </w:p>
    <w:p>
      <w:pPr>
        <w:spacing w:after="0" w:line="289" w:lineRule="exact"/>
        <w:rPr>
          <w:sz w:val="20"/>
          <w:szCs w:val="20"/>
          <w:color w:val="auto"/>
        </w:rPr>
      </w:pPr>
    </w:p>
    <w:p>
      <w:pPr>
        <w:ind w:right="5240"/>
        <w:spacing w:after="0" w:line="355" w:lineRule="auto"/>
        <w:rPr>
          <w:sz w:val="20"/>
          <w:szCs w:val="20"/>
          <w:color w:val="auto"/>
        </w:rPr>
      </w:pPr>
      <w:r>
        <w:rPr>
          <w:rFonts w:ascii="Arial" w:cs="Arial" w:eastAsia="Arial" w:hAnsi="Arial"/>
          <w:sz w:val="17"/>
          <w:szCs w:val="17"/>
          <w:color w:val="auto"/>
        </w:rPr>
        <w:t>Certification of Chief Executive Officer Pursuant to 18 U.S.C. Section 1350, As Adopted Pursuant to Section 906 of the Sarbanes-Oxley Act of 2002</w:t>
      </w:r>
    </w:p>
    <w:p>
      <w:pPr>
        <w:spacing w:after="0" w:line="164" w:lineRule="exact"/>
        <w:rPr>
          <w:sz w:val="20"/>
          <w:szCs w:val="20"/>
          <w:color w:val="auto"/>
        </w:rPr>
      </w:pPr>
    </w:p>
    <w:p>
      <w:pPr>
        <w:ind w:right="60"/>
        <w:spacing w:after="0" w:line="300" w:lineRule="auto"/>
        <w:rPr>
          <w:sz w:val="20"/>
          <w:szCs w:val="20"/>
          <w:color w:val="auto"/>
        </w:rPr>
      </w:pPr>
      <w:r>
        <w:rPr>
          <w:rFonts w:ascii="Arial" w:cs="Arial" w:eastAsia="Arial" w:hAnsi="Arial"/>
          <w:sz w:val="18"/>
          <w:szCs w:val="18"/>
          <w:color w:val="auto"/>
        </w:rPr>
        <w:t>In connection with the Quarterly Report of Ross Stores, Inc. (the “Company”) on Form 10-Q for the quarter ended April 29, 2023 as filed with the Securities and Exchange Commission on the date hereof (the "Report"), I, Barbara Rentler, as Chief Executive Officer of the Company, hereby certify, pursuant to 18 U.S.C. Section 1350, as adopted pursuant to Section 906 of the Sarbanes-Oxley Act of 2002 (“Section 906”), that, to the best of my knowledge:</w:t>
      </w:r>
    </w:p>
    <w:p>
      <w:pPr>
        <w:spacing w:after="0" w:line="207"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49" w:lineRule="exact"/>
        <w:rPr>
          <w:rFonts w:ascii="Arial" w:cs="Arial" w:eastAsia="Arial" w:hAnsi="Arial"/>
          <w:sz w:val="18"/>
          <w:szCs w:val="18"/>
          <w:color w:val="auto"/>
        </w:rPr>
      </w:pPr>
    </w:p>
    <w:p>
      <w:pPr>
        <w:ind w:left="660" w:hanging="652"/>
        <w:spacing w:after="0" w:line="307"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Date:  September 5, 2023</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/s/Barbara Rentler</w:t>
            </w:r>
          </w:p>
        </w:tc>
      </w:tr>
      <w:tr>
        <w:trPr>
          <w:trHeight w:val="223"/>
        </w:trPr>
        <w:tc>
          <w:tcPr>
            <w:tcW w:w="70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Barbara Rentler</w:t>
            </w:r>
          </w:p>
        </w:tc>
      </w:tr>
      <w:tr>
        <w:trPr>
          <w:trHeight w:val="229"/>
        </w:trPr>
        <w:tc>
          <w:tcPr>
            <w:tcW w:w="704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90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EXHIBIT 32.2</w:t>
      </w:r>
    </w:p>
    <w:p>
      <w:pPr>
        <w:spacing w:after="0" w:line="262" w:lineRule="exact"/>
        <w:rPr>
          <w:sz w:val="20"/>
          <w:szCs w:val="20"/>
          <w:color w:val="auto"/>
        </w:rPr>
      </w:pPr>
    </w:p>
    <w:p>
      <w:pPr>
        <w:ind w:right="5320"/>
        <w:spacing w:after="0" w:line="306" w:lineRule="auto"/>
        <w:rPr>
          <w:sz w:val="20"/>
          <w:szCs w:val="20"/>
          <w:color w:val="auto"/>
        </w:rPr>
      </w:pPr>
      <w:r>
        <w:rPr>
          <w:rFonts w:ascii="Arial" w:cs="Arial" w:eastAsia="Arial" w:hAnsi="Arial"/>
          <w:sz w:val="17"/>
          <w:szCs w:val="17"/>
          <w:color w:val="auto"/>
        </w:rPr>
        <w:t>Certification of Chief Financial Officer Pursuant to 18 U.S.C. Section 1350, As Adopted Pursuant to Section 906 of the Sarbanes-Oxley Act of 2002</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connection with the Quarterly Report of Ross Stores, Inc. (the “Company”) on Form 10-Q for the quarter ended April 29, 2023 as filed with the Securities and Exchange Commission on the date hereof (the "Report"), I, Adam Orvos, as Chief Financial Officer of the Company, hereby certify, pursuant to 18 U.S.C. Section 1350, as adopted pursuant to Section 906 of the Sarbanes-Oxley Act of 2002 (“Section 906”), that, to the best of my knowledge:</w:t>
      </w:r>
    </w:p>
    <w:p>
      <w:pPr>
        <w:spacing w:after="0" w:line="217"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1" w:lineRule="exact"/>
        <w:rPr>
          <w:rFonts w:ascii="Arial" w:cs="Arial" w:eastAsia="Arial" w:hAnsi="Arial"/>
          <w:sz w:val="18"/>
          <w:szCs w:val="18"/>
          <w:color w:val="auto"/>
        </w:rPr>
      </w:pPr>
    </w:p>
    <w:p>
      <w:pPr>
        <w:ind w:left="660" w:right="20" w:hanging="652"/>
        <w:spacing w:after="0" w:line="261"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Date:  September 5, 2023</w:t>
            </w:r>
          </w:p>
        </w:tc>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/s/Adam Orvos</w:t>
            </w:r>
          </w:p>
        </w:tc>
      </w:tr>
      <w:tr>
        <w:trPr>
          <w:trHeight w:val="223"/>
        </w:trPr>
        <w:tc>
          <w:tcPr>
            <w:tcW w:w="580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Adam Orvos</w:t>
            </w:r>
          </w:p>
        </w:tc>
      </w:tr>
      <w:tr>
        <w:trPr>
          <w:trHeight w:val="229"/>
        </w:trPr>
        <w:tc>
          <w:tcPr>
            <w:tcW w:w="580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emdash "/>
      <w:numFmt w:val="bullet"/>
      <w:start w:val="1"/>
    </w:lvl>
  </w:abstractNum>
  <w:abstractNum w:abstractNumId="2">
    <w:nsid w:val="6CEAF087"/>
    <w:multiLevelType w:val="hybridMultilevel"/>
    <w:lvl w:ilvl="0">
      <w:lvlJc w:val="left"/>
      <w:lvlText w:val="1"/>
      <w:numFmt w:val="bullet"/>
      <w:start w:val="1"/>
    </w:lvl>
  </w:abstractNum>
  <w:abstractNum w:abstractNumId="3">
    <w:nsid w:val="22221A70"/>
    <w:multiLevelType w:val="hybridMultilevel"/>
    <w:lvl w:ilvl="0">
      <w:lvlJc w:val="left"/>
      <w:lvlText w:val="1"/>
      <w:numFmt w:val="bullet"/>
      <w:start w:val="1"/>
    </w:lvl>
  </w:abstractNum>
  <w:abstractNum w:abstractNumId="4">
    <w:nsid w:val="4516DDE9"/>
    <w:multiLevelType w:val="hybridMultilevel"/>
    <w:lvl w:ilvl="0">
      <w:lvlJc w:val="left"/>
      <w:lvlText w:val="1"/>
      <w:numFmt w:val="bullet"/>
      <w:start w:val="1"/>
    </w:lvl>
  </w:abstractNum>
  <w:abstractNum w:abstractNumId="5">
    <w:nsid w:val="3006C83E"/>
    <w:multiLevelType w:val="hybridMultilevel"/>
    <w:lvl w:ilvl="0">
      <w:lvlJc w:val="left"/>
      <w:lvlText w:val="2"/>
      <w:numFmt w:val="bullet"/>
      <w:start w:val="1"/>
    </w:lvl>
  </w:abstractNum>
  <w:abstractNum w:abstractNumId="6">
    <w:nsid w:val="614FD4A1"/>
    <w:multiLevelType w:val="hybridMultilevel"/>
    <w:lvl w:ilvl="0">
      <w:lvlJc w:val="left"/>
      <w:lvlText w:val="4"/>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bullet"/>
      <w:start w:val="1"/>
    </w:lvl>
  </w:abstractNum>
  <w:abstractNum w:abstractNumId="9">
    <w:nsid w:val="440BADFC"/>
    <w:multiLevelType w:val="hybridMultilevel"/>
    <w:lvl w:ilvl="0">
      <w:lvlJc w:val="left"/>
      <w:lvlText w:val="2"/>
      <w:numFmt w:val="bullet"/>
      <w:start w:val="1"/>
    </w:lvl>
  </w:abstractNum>
  <w:abstractNum w:abstractNumId="10">
    <w:nsid w:val="5072367"/>
    <w:multiLevelType w:val="hybridMultilevel"/>
    <w:lvl w:ilvl="0">
      <w:lvlJc w:val="left"/>
      <w:lvlText w:val="%1"/>
      <w:numFmt w:val="decimal"/>
      <w:start w:val="15"/>
    </w:lvl>
  </w:abstractNum>
  <w:abstractNum w:abstractNumId="11">
    <w:nsid w:val="3804823E"/>
    <w:multiLevelType w:val="hybridMultilevel"/>
    <w:lvl w:ilvl="0">
      <w:lvlJc w:val="left"/>
      <w:lvlText w:val="%1"/>
      <w:numFmt w:val="decimal"/>
      <w:start w:val="104"/>
    </w:lvl>
  </w:abstractNum>
  <w:abstractNum w:abstractNumId="12">
    <w:nsid w:val="77465F01"/>
    <w:multiLevelType w:val="hybridMultilevel"/>
    <w:lvl w:ilvl="0">
      <w:lvlJc w:val="left"/>
      <w:lvlText w:val="%1."/>
      <w:numFmt w:val="upperLetter"/>
      <w:start w:val="1"/>
    </w:lvl>
  </w:abstractNum>
  <w:abstractNum w:abstractNumId="13">
    <w:nsid w:val="7724C67E"/>
    <w:multiLevelType w:val="hybridMultilevel"/>
    <w:lvl w:ilvl="0">
      <w:lvlJc w:val="left"/>
      <w:lvlText w:val="%1."/>
      <w:numFmt w:val="decimal"/>
      <w:start w:val="1"/>
    </w:lvl>
    <w:lvl w:ilvl="1">
      <w:lvlJc w:val="left"/>
      <w:lvlText w:val="(%2)"/>
      <w:numFmt w:val="lowerLetter"/>
      <w:start w:val="1"/>
    </w:lvl>
  </w:abstractNum>
  <w:abstractNum w:abstractNumId="14">
    <w:nsid w:val="5C482A97"/>
    <w:multiLevelType w:val="hybridMultilevel"/>
    <w:lvl w:ilvl="0">
      <w:lvlJc w:val="left"/>
      <w:lvlText w:val="(%1)"/>
      <w:numFmt w:val="lowerLetter"/>
      <w:start w:val="2"/>
    </w:lvl>
  </w:abstractNum>
  <w:abstractNum w:abstractNumId="15">
    <w:nsid w:val="2463B9EA"/>
    <w:multiLevelType w:val="hybridMultilevel"/>
    <w:lvl w:ilvl="0">
      <w:lvlJc w:val="left"/>
      <w:lvlText w:val="%1"/>
      <w:numFmt w:val="decimal"/>
      <w:start w:val="1"/>
    </w:lvl>
    <w:lvl w:ilvl="1">
      <w:lvlJc w:val="left"/>
      <w:lvlText w:val="(%2)"/>
      <w:numFmt w:val="lowerLetter"/>
      <w:start w:val="6"/>
    </w:lvl>
  </w:abstractNum>
  <w:abstractNum w:abstractNumId="16">
    <w:nsid w:val="5E884ADC"/>
    <w:multiLevelType w:val="hybridMultilevel"/>
    <w:lvl w:ilvl="0">
      <w:lvlJc w:val="left"/>
      <w:lvlText w:val="%1."/>
      <w:numFmt w:val="decimal"/>
      <w:start w:val="5"/>
    </w:lvl>
    <w:lvl w:ilvl="1">
      <w:lvlJc w:val="left"/>
      <w:lvlText w:val="(%2)"/>
      <w:numFmt w:val="lowerLetter"/>
      <w:start w:val="1"/>
    </w:lvl>
  </w:abstractNum>
  <w:abstractNum w:abstractNumId="17">
    <w:nsid w:val="51EAD36B"/>
    <w:multiLevelType w:val="hybridMultilevel"/>
    <w:lvl w:ilvl="0">
      <w:lvlJc w:val="left"/>
      <w:lvlText w:val="(%1)"/>
      <w:numFmt w:val="lowerLetter"/>
      <w:start w:val="4"/>
    </w:lvl>
  </w:abstractNum>
  <w:abstractNum w:abstractNumId="18">
    <w:nsid w:val="2D517796"/>
    <w:multiLevelType w:val="hybridMultilevel"/>
    <w:lvl w:ilvl="0">
      <w:lvlJc w:val="left"/>
      <w:lvlText w:val="(%1)"/>
      <w:numFmt w:val="lowerLetter"/>
      <w:start w:val="8"/>
    </w:lvl>
  </w:abstractNum>
  <w:abstractNum w:abstractNumId="19">
    <w:nsid w:val="580BD78F"/>
    <w:multiLevelType w:val="hybridMultilevel"/>
    <w:lvl w:ilvl="0">
      <w:lvlJc w:val="left"/>
      <w:lvlText w:val="%1."/>
      <w:numFmt w:val="decimal"/>
      <w:start w:val="6"/>
    </w:lvl>
    <w:lvl w:ilvl="1">
      <w:lvlJc w:val="left"/>
      <w:lvlText w:val="(%2)"/>
      <w:numFmt w:val="lowerLetter"/>
      <w:start w:val="1"/>
    </w:lvl>
  </w:abstractNum>
  <w:abstractNum w:abstractNumId="20">
    <w:nsid w:val="153EA438"/>
    <w:multiLevelType w:val="hybridMultilevel"/>
    <w:lvl w:ilvl="0">
      <w:lvlJc w:val="left"/>
      <w:lvlText w:val="(%1)"/>
      <w:numFmt w:val="lowerLetter"/>
      <w:start w:val="5"/>
    </w:lvl>
    <w:lvl w:ilvl="1">
      <w:lvlJc w:val="left"/>
      <w:lvlText w:val="(%2)"/>
      <w:numFmt w:val="lowerRoman"/>
      <w:start w:val="1"/>
    </w:lvl>
  </w:abstractNum>
  <w:abstractNum w:abstractNumId="21">
    <w:nsid w:val="3855585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2">
    <w:nsid w:val="70A64E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3">
    <w:nsid w:val="6A2342EC"/>
    <w:multiLevelType w:val="hybridMultilevel"/>
    <w:lvl w:ilvl="0">
      <w:lvlJc w:val="left"/>
      <w:lvlText w:val="(%1)"/>
      <w:numFmt w:val="lowerRoman"/>
      <w:start w:val="2"/>
    </w:lvl>
  </w:abstractNum>
  <w:abstractNum w:abstractNumId="24">
    <w:nsid w:val="2A487CB0"/>
    <w:multiLevelType w:val="hybridMultilevel"/>
    <w:lvl w:ilvl="0">
      <w:lvlJc w:val="left"/>
      <w:lvlText w:val="(%1)"/>
      <w:numFmt w:val="lowerRoman"/>
      <w:start w:val="6"/>
    </w:lvl>
  </w:abstractNum>
  <w:abstractNum w:abstractNumId="25">
    <w:nsid w:val="1D4ED43B"/>
    <w:multiLevelType w:val="hybridMultilevel"/>
    <w:lvl w:ilvl="0">
      <w:lvlJc w:val="left"/>
      <w:lvlText w:val="(%1)"/>
      <w:numFmt w:val="lowerLetter"/>
      <w:start w:val="2"/>
    </w:lvl>
  </w:abstractNum>
  <w:abstractNum w:abstractNumId="26">
    <w:nsid w:val="725A06FB"/>
    <w:multiLevelType w:val="hybridMultilevel"/>
    <w:lvl w:ilvl="0">
      <w:lvlJc w:val="left"/>
      <w:lvlText w:val="(%1)"/>
      <w:numFmt w:val="lowerLetter"/>
      <w:start w:val="3"/>
    </w:lvl>
    <w:lvl w:ilvl="1">
      <w:lvlJc w:val="left"/>
      <w:lvlText w:val="(%2)"/>
      <w:numFmt w:val="lowerRoman"/>
      <w:start w:val="1"/>
    </w:lvl>
  </w:abstractNum>
  <w:abstractNum w:abstractNumId="27">
    <w:nsid w:val="2CD89A32"/>
    <w:multiLevelType w:val="hybridMultilevel"/>
    <w:lvl w:ilvl="0">
      <w:lvlJc w:val="left"/>
      <w:lvlText w:val="%1."/>
      <w:numFmt w:val="lowerLetter"/>
      <w:start w:val="1"/>
    </w:lvl>
  </w:abstractNum>
  <w:abstractNum w:abstractNumId="28">
    <w:nsid w:val="57E4CCAF"/>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29">
    <w:nsid w:val="7A6D8D3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3"/>
    </w:lvl>
  </w:abstractNum>
  <w:abstractNum w:abstractNumId="30">
    <w:nsid w:val="4B588F54"/>
    <w:multiLevelType w:val="hybridMultilevel"/>
    <w:lvl w:ilvl="0">
      <w:lvlJc w:val="left"/>
      <w:lvlText w:val="%1"/>
      <w:numFmt w:val="lowerRoman"/>
      <w:start w:val="1"/>
    </w:lvl>
    <w:lvl w:ilvl="1">
      <w:lvlJc w:val="left"/>
      <w:lvlText w:val="(%2)"/>
      <w:numFmt w:val="lowerRoman"/>
      <w:start w:val="3"/>
    </w:lvl>
  </w:abstractNum>
  <w:abstractNum w:abstractNumId="31">
    <w:nsid w:val="542289EC"/>
    <w:multiLevelType w:val="hybridMultilevel"/>
    <w:lvl w:ilvl="0">
      <w:lvlJc w:val="left"/>
      <w:lvlText w:val="(%1)"/>
      <w:numFmt w:val="lowerRoman"/>
      <w:start w:val="4"/>
    </w:lvl>
    <w:lvl w:ilvl="1">
      <w:lvlJc w:val="left"/>
      <w:lvlText w:val="(%2)"/>
      <w:numFmt w:val="lowerRoman"/>
      <w:start w:val="4"/>
    </w:lvl>
  </w:abstractNum>
  <w:abstractNum w:abstractNumId="32">
    <w:nsid w:val="6DE91B18"/>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33">
    <w:nsid w:val="38437FDB"/>
    <w:multiLevelType w:val="hybridMultilevel"/>
    <w:lvl w:ilvl="0">
      <w:lvlJc w:val="left"/>
      <w:lvlText w:val="(%1)"/>
      <w:numFmt w:val="lowerRoman"/>
      <w:start w:val="2"/>
    </w:lvl>
    <w:lvl w:ilvl="1">
      <w:lvlJc w:val="left"/>
      <w:lvlText w:val="%2."/>
      <w:numFmt w:val="decimal"/>
      <w:start w:val="8"/>
    </w:lvl>
    <w:lvl w:ilvl="2">
      <w:lvlJc w:val="left"/>
      <w:lvlText w:val="(%3)"/>
      <w:numFmt w:val="lowerLetter"/>
      <w:start w:val="1"/>
    </w:lvl>
    <w:lvl w:ilvl="3">
      <w:lvlJc w:val="left"/>
      <w:lvlText w:val="(%4)"/>
      <w:numFmt w:val="lowerRoman"/>
      <w:start w:val="6"/>
    </w:lvl>
  </w:abstractNum>
  <w:abstractNum w:abstractNumId="34">
    <w:nsid w:val="7644A45C"/>
    <w:multiLevelType w:val="hybridMultilevel"/>
    <w:lvl w:ilvl="0">
      <w:lvlJc w:val="left"/>
      <w:lvlText w:val="(%1)"/>
      <w:numFmt w:val="lowerLetter"/>
      <w:start w:val="2"/>
    </w:lvl>
    <w:lvl w:ilvl="1">
      <w:lvlJc w:val="left"/>
      <w:lvlText w:val="(%2)"/>
      <w:numFmt w:val="lowerLetter"/>
      <w:start w:val="9"/>
    </w:lvl>
  </w:abstractNum>
  <w:abstractNum w:abstractNumId="35">
    <w:nsid w:val="32FFF902"/>
    <w:multiLevelType w:val="hybridMultilevel"/>
    <w:lvl w:ilvl="0">
      <w:lvlJc w:val="left"/>
      <w:lvlText w:val="%1"/>
      <w:numFmt w:val="lowerLetter"/>
      <w:start w:val="1"/>
    </w:lvl>
    <w:lvl w:ilvl="1">
      <w:lvlJc w:val="left"/>
      <w:lvlText w:val="(%2)"/>
      <w:numFmt w:val="lowerLetter"/>
      <w:start w:val="35"/>
    </w:lvl>
  </w:abstractNum>
  <w:abstractNum w:abstractNumId="36">
    <w:nsid w:val="684A481A"/>
    <w:multiLevelType w:val="hybridMultilevel"/>
    <w:lvl w:ilvl="0">
      <w:lvlJc w:val="left"/>
      <w:lvlText w:val="(%1)"/>
      <w:numFmt w:val="lowerLetter"/>
      <w:start w:val="3"/>
    </w:lvl>
    <w:lvl w:ilvl="1">
      <w:lvlJc w:val="left"/>
      <w:lvlText w:val="%2"/>
      <w:numFmt w:val="lowerLetter"/>
      <w:start w:val="1"/>
    </w:lvl>
  </w:abstractNum>
  <w:abstractNum w:abstractNumId="37">
    <w:nsid w:val="579478F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8">
    <w:nsid w:val="749ABB4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9">
    <w:nsid w:val="3DC240FB"/>
    <w:multiLevelType w:val="hybridMultilevel"/>
    <w:lvl w:ilvl="0">
      <w:lvlJc w:val="left"/>
      <w:lvlText w:val="%1"/>
      <w:numFmt w:val="lowerLetter"/>
      <w:start w:val="1"/>
    </w:lvl>
    <w:lvl w:ilvl="1">
      <w:lvlJc w:val="left"/>
      <w:lvlText w:val="(%2)"/>
      <w:numFmt w:val="lowerLetter"/>
      <w:start w:val="3"/>
    </w:lvl>
  </w:abstractNum>
  <w:abstractNum w:abstractNumId="40">
    <w:nsid w:val="1BA026FA"/>
    <w:multiLevelType w:val="hybridMultilevel"/>
    <w:lvl w:ilvl="0">
      <w:lvlJc w:val="left"/>
      <w:lvlText w:val="(%1)"/>
      <w:numFmt w:val="lowerLetter"/>
      <w:start w:val="7"/>
    </w:lvl>
    <w:lvl w:ilvl="1">
      <w:lvlJc w:val="left"/>
      <w:lvlText w:val="%2"/>
      <w:numFmt w:val="lowerLetter"/>
      <w:start w:val="1"/>
    </w:lvl>
  </w:abstractNum>
  <w:abstractNum w:abstractNumId="41">
    <w:nsid w:val="79A1DEAA"/>
    <w:multiLevelType w:val="hybridMultilevel"/>
    <w:lvl w:ilvl="0">
      <w:lvlJc w:val="left"/>
      <w:lvlText w:val="%1."/>
      <w:numFmt w:val="decimal"/>
      <w:start w:val="11"/>
    </w:lvl>
  </w:abstractNum>
  <w:abstractNum w:abstractNumId="42">
    <w:nsid w:val="75C6C33A"/>
    <w:multiLevelType w:val="hybridMultilevel"/>
    <w:lvl w:ilvl="0">
      <w:lvlJc w:val="left"/>
      <w:lvlText w:val="%1."/>
      <w:numFmt w:val="decimal"/>
      <w:start w:val="15"/>
    </w:lvl>
  </w:abstractNum>
  <w:abstractNum w:abstractNumId="43">
    <w:nsid w:val="12E685FB"/>
    <w:multiLevelType w:val="hybridMultilevel"/>
    <w:lvl w:ilvl="0">
      <w:lvlJc w:val="left"/>
      <w:lvlText w:val="%1."/>
      <w:numFmt w:val="decimal"/>
      <w:start w:val="16"/>
    </w:lvl>
  </w:abstractNum>
  <w:abstractNum w:abstractNumId="44">
    <w:nsid w:val="70C6A529"/>
    <w:multiLevelType w:val="hybridMultilevel"/>
    <w:lvl w:ilvl="0">
      <w:lvlJc w:val="left"/>
      <w:lvlText w:val="%1."/>
      <w:numFmt w:val="decimal"/>
      <w:start w:val="18"/>
    </w:lvl>
  </w:abstractNum>
  <w:abstractNum w:abstractNumId="45">
    <w:nsid w:val="520EEDD1"/>
    <w:multiLevelType w:val="hybridMultilevel"/>
    <w:lvl w:ilvl="0">
      <w:lvlJc w:val="left"/>
      <w:lvlText w:val="%1."/>
      <w:numFmt w:val="decimal"/>
      <w:start w:val="20"/>
    </w:lvl>
  </w:abstractNum>
  <w:abstractNum w:abstractNumId="46">
    <w:nsid w:val="374A3FE6"/>
    <w:multiLevelType w:val="hybridMultilevel"/>
    <w:lvl w:ilvl="0">
      <w:lvlJc w:val="left"/>
      <w:lvlText w:val="%1."/>
      <w:numFmt w:val="decimal"/>
      <w:start w:val="22"/>
    </w:lvl>
    <w:lvl w:ilvl="1">
      <w:lvlJc w:val="left"/>
      <w:lvlText w:val="(%2)"/>
      <w:numFmt w:val="lowerLetter"/>
      <w:start w:val="1"/>
    </w:lvl>
  </w:abstractNum>
  <w:abstractNum w:abstractNumId="47">
    <w:nsid w:val="4F4EF005"/>
    <w:multiLevelType w:val="hybridMultilevel"/>
    <w:lvl w:ilvl="0">
      <w:lvlJc w:val="left"/>
      <w:lvlText w:val="%1"/>
      <w:numFmt w:val="decimal"/>
      <w:start w:val="1"/>
    </w:lvl>
    <w:lvl w:ilvl="1">
      <w:lvlJc w:val="left"/>
      <w:lvlText w:val="(%2)"/>
      <w:numFmt w:val="lowerLetter"/>
      <w:start w:val="5"/>
    </w:lvl>
  </w:abstractNum>
  <w:abstractNum w:abstractNumId="48">
    <w:nsid w:val="23F9C13C"/>
    <w:multiLevelType w:val="hybridMultilevel"/>
    <w:lvl w:ilvl="0">
      <w:lvlJc w:val="left"/>
      <w:lvlText w:val="%1."/>
      <w:numFmt w:val="decimal"/>
      <w:start w:val="23"/>
    </w:lvl>
    <w:lvl w:ilvl="1">
      <w:lvlJc w:val="left"/>
      <w:lvlText w:val="%2"/>
      <w:numFmt w:val="lowerLetter"/>
      <w:start w:val="1"/>
    </w:lvl>
  </w:abstractNum>
  <w:abstractNum w:abstractNumId="49">
    <w:nsid w:val="649BB77C"/>
    <w:multiLevelType w:val="hybridMultilevel"/>
    <w:lvl w:ilvl="0">
      <w:lvlJc w:val="left"/>
      <w:lvlText w:val="%1."/>
      <w:numFmt w:val="decimal"/>
      <w:start w:val="1"/>
    </w:lvl>
    <w:lvl w:ilvl="1">
      <w:lvlJc w:val="left"/>
      <w:lvlText w:val="(%2)"/>
      <w:numFmt w:val="lowerRoman"/>
      <w:start w:val="1"/>
    </w:lvl>
    <w:lvl w:ilvl="2">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1."/>
      <w:numFmt w:val="decimal"/>
      <w:start w:val="9"/>
    </w:lvl>
  </w:abstractNum>
  <w:abstractNum w:abstractNumId="53">
    <w:nsid w:val="180115BE"/>
    <w:multiLevelType w:val="hybridMultilevel"/>
    <w:lvl w:ilvl="0">
      <w:lvlJc w:val="left"/>
      <w:lvlText w:val="%1."/>
      <w:numFmt w:val="decimal"/>
      <w:start w:val="12"/>
    </w:lvl>
  </w:abstractNum>
  <w:abstractNum w:abstractNumId="54">
    <w:nsid w:val="235BA861"/>
    <w:multiLevelType w:val="hybridMultilevel"/>
    <w:lvl w:ilvl="0">
      <w:lvlJc w:val="left"/>
      <w:lvlText w:val="%1."/>
      <w:numFmt w:val="decimal"/>
      <w:start w:val="20"/>
    </w:lvl>
    <w:lvl w:ilvl="1">
      <w:lvlJc w:val="left"/>
      <w:lvlText w:val="(%2)"/>
      <w:numFmt w:val="lowerLetter"/>
      <w:start w:val="1"/>
    </w:lvl>
  </w:abstractNum>
  <w:abstractNum w:abstractNumId="55">
    <w:nsid w:val="47398C89"/>
    <w:multiLevelType w:val="hybridMultilevel"/>
    <w:lvl w:ilvl="0">
      <w:lvlJc w:val="left"/>
      <w:lvlText w:val="(%1)"/>
      <w:numFmt w:val="lowerLetter"/>
      <w:start w:val="5"/>
    </w:lvl>
  </w:abstractNum>
  <w:abstractNum w:abstractNumId="56">
    <w:nsid w:val="354FE9F9"/>
    <w:multiLevelType w:val="hybridMultilevel"/>
    <w:lvl w:ilvl="0">
      <w:lvlJc w:val="left"/>
      <w:lvlText w:val="(%1)"/>
      <w:numFmt w:val="lowerLetter"/>
      <w:start w:val="6"/>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4" Type="http://schemas.openxmlformats.org/officeDocument/2006/relationships/hyperlink" Target="http://www.sec.gov/Archives/edgar/data/745732/000074573215000022/exhibit31certificateofamen.htm" TargetMode="External"/><Relationship Id="rId35" Type="http://schemas.openxmlformats.org/officeDocument/2006/relationships/hyperlink" Target="https://www.sec.gov/Archives/edgar/data/745732/000074573223000010/rossstores-amendedandr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2023-09-06T05:27:40Z</dcterms:created>
  <dcterms:modified xsi:type="dcterms:W3CDTF">2023-09-06T05:27:40Z</dcterms:modified>
</cp:coreProperties>
</file>