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6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5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May 20, 2026</w:t>
      </w:r>
    </w:p>
    <w:p>
      <w:pPr>
        <w:spacing w:after="0" w:line="3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ROSS STORES, INC.</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4" w:lineRule="exact"/>
        <w:rPr>
          <w:sz w:val="24"/>
          <w:szCs w:val="24"/>
          <w:color w:val="auto"/>
        </w:rPr>
      </w:pPr>
    </w:p>
    <w:p>
      <w:pPr>
        <w:ind w:left="1560"/>
        <w:spacing w:after="0"/>
        <w:tabs>
          <w:tab w:leader="none" w:pos="5300" w:val="left"/>
          <w:tab w:leader="none" w:pos="88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0-14678</w:t>
      </w:r>
      <w:r>
        <w:rPr>
          <w:sz w:val="20"/>
          <w:szCs w:val="20"/>
          <w:color w:val="auto"/>
        </w:rPr>
        <w:tab/>
      </w:r>
      <w:r>
        <w:rPr>
          <w:rFonts w:ascii="Times New Roman" w:cs="Times New Roman" w:eastAsia="Times New Roman" w:hAnsi="Times New Roman"/>
          <w:sz w:val="18"/>
          <w:szCs w:val="18"/>
          <w:b w:val="1"/>
          <w:bCs w:val="1"/>
          <w:color w:val="auto"/>
        </w:rPr>
        <w:t>94-1390387</w:t>
      </w:r>
    </w:p>
    <w:p>
      <w:pPr>
        <w:spacing w:after="0" w:line="31" w:lineRule="exact"/>
        <w:rPr>
          <w:sz w:val="24"/>
          <w:szCs w:val="24"/>
          <w:color w:val="auto"/>
        </w:rPr>
      </w:pPr>
    </w:p>
    <w:p>
      <w:pPr>
        <w:ind w:left="360"/>
        <w:spacing w:after="0"/>
        <w:tabs>
          <w:tab w:leader="none" w:pos="4760" w:val="left"/>
          <w:tab w:leader="none" w:pos="7980" w:val="left"/>
        </w:tabs>
        <w:rPr>
          <w:sz w:val="20"/>
          <w:szCs w:val="20"/>
          <w:color w:val="auto"/>
        </w:rPr>
      </w:pPr>
      <w:r>
        <w:rPr>
          <w:rFonts w:ascii="Times New Roman" w:cs="Times New Roman" w:eastAsia="Times New Roman" w:hAnsi="Times New Roman"/>
          <w:sz w:val="18"/>
          <w:szCs w:val="18"/>
          <w:color w:val="auto"/>
        </w:rPr>
        <w:t>(State or other jurisdiction of incorporation)</w:t>
      </w:r>
      <w:r>
        <w:rPr>
          <w:sz w:val="20"/>
          <w:szCs w:val="20"/>
          <w:color w:val="auto"/>
        </w:rPr>
        <w:tab/>
      </w:r>
      <w:r>
        <w:rPr>
          <w:rFonts w:ascii="Times New Roman" w:cs="Times New Roman" w:eastAsia="Times New Roman" w:hAnsi="Times New Roman"/>
          <w:sz w:val="18"/>
          <w:szCs w:val="18"/>
          <w:color w:val="auto"/>
        </w:rPr>
        <w:t>(Commission File No.)</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33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5130 Hacienda Drive, Dublin, California 94568</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(925) 965-4400</w:t>
      </w:r>
    </w:p>
    <w:p>
      <w:pPr>
        <w:spacing w:after="0" w:line="36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16"/>
        </w:trPr>
        <w:tc>
          <w:tcPr>
            <w:tcW w:w="1180" w:type="dxa"/>
            <w:vAlign w:val="bottom"/>
          </w:tcPr>
          <w:p>
            <w:pPr>
              <w:spacing w:after="0"/>
              <w:rPr>
                <w:sz w:val="18"/>
                <w:szCs w:val="18"/>
                <w:color w:val="auto"/>
              </w:rPr>
            </w:pPr>
          </w:p>
        </w:tc>
        <w:tc>
          <w:tcPr>
            <w:tcW w:w="332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9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45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340" w:type="dxa"/>
            <w:vAlign w:val="bottom"/>
          </w:tcPr>
          <w:p>
            <w:pPr>
              <w:spacing w:after="0"/>
              <w:rPr>
                <w:sz w:val="21"/>
                <w:szCs w:val="21"/>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ROST</w:t>
            </w:r>
          </w:p>
        </w:tc>
        <w:tc>
          <w:tcPr>
            <w:tcW w:w="76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1440"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Ross Stores, Inc. (the "Company") held its Annual Meeting of Stockholders on May 20, 2026, by virtual meeting. The Company’s stockholders considered and voted upon four matters at the meeting, with final voting results as follows: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1 - Election of Directors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holders of the Company’s common stock elected 9 nominees to serve as directors for a term of one year, expiring at the time of the</w:t>
      </w:r>
    </w:p>
    <w:p>
      <w:pPr>
        <w:spacing w:after="0"/>
        <w:rPr>
          <w:sz w:val="20"/>
          <w:szCs w:val="20"/>
          <w:color w:val="auto"/>
        </w:rPr>
      </w:pPr>
      <w:r>
        <w:rPr>
          <w:rFonts w:ascii="Times New Roman" w:cs="Times New Roman" w:eastAsia="Times New Roman" w:hAnsi="Times New Roman"/>
          <w:sz w:val="20"/>
          <w:szCs w:val="20"/>
          <w:color w:val="auto"/>
        </w:rPr>
        <w:t>Annual Meeting of Stockholders in 2027: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28"/>
        </w:trPr>
        <w:tc>
          <w:tcPr>
            <w:tcW w:w="2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 Gunnar Bjorklund</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250,732,189</w:t>
            </w:r>
          </w:p>
        </w:tc>
        <w:tc>
          <w:tcPr>
            <w:tcW w:w="10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15,589,551</w:t>
            </w:r>
          </w:p>
        </w:tc>
        <w:tc>
          <w:tcPr>
            <w:tcW w:w="100" w:type="dxa"/>
            <w:vAlign w:val="bottom"/>
          </w:tcPr>
          <w:p>
            <w:pPr>
              <w:spacing w:after="0"/>
              <w:rPr>
                <w:sz w:val="19"/>
                <w:szCs w:val="19"/>
                <w:color w:val="auto"/>
              </w:rPr>
            </w:pPr>
          </w:p>
        </w:tc>
        <w:tc>
          <w:tcPr>
            <w:tcW w:w="19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145,501</w:t>
            </w:r>
          </w:p>
        </w:tc>
        <w:tc>
          <w:tcPr>
            <w:tcW w:w="100" w:type="dxa"/>
            <w:vAlign w:val="bottom"/>
          </w:tcPr>
          <w:p>
            <w:pPr>
              <w:spacing w:after="0"/>
              <w:rPr>
                <w:sz w:val="19"/>
                <w:szCs w:val="19"/>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19,229,838</w:t>
            </w:r>
          </w:p>
        </w:tc>
      </w:tr>
      <w:tr>
        <w:trPr>
          <w:trHeight w:val="252"/>
        </w:trPr>
        <w:tc>
          <w:tcPr>
            <w:tcW w:w="28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Michael J. Bush</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249,302,344</w:t>
            </w:r>
          </w:p>
        </w:tc>
        <w:tc>
          <w:tcPr>
            <w:tcW w:w="10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17,020,543</w:t>
            </w:r>
          </w:p>
        </w:tc>
        <w:tc>
          <w:tcPr>
            <w:tcW w:w="100" w:type="dxa"/>
            <w:vAlign w:val="bottom"/>
          </w:tcPr>
          <w:p>
            <w:pPr>
              <w:spacing w:after="0"/>
              <w:rPr>
                <w:sz w:val="21"/>
                <w:szCs w:val="21"/>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144,354</w:t>
            </w:r>
          </w:p>
        </w:tc>
        <w:tc>
          <w:tcPr>
            <w:tcW w:w="10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19,229,838</w:t>
            </w:r>
          </w:p>
        </w:tc>
      </w:tr>
      <w:tr>
        <w:trPr>
          <w:trHeight w:val="257"/>
        </w:trPr>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Edward G. Cannizzaro</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257,750,371</w:t>
            </w:r>
          </w:p>
        </w:tc>
        <w:tc>
          <w:tcPr>
            <w:tcW w:w="10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8,572,200</w:t>
            </w:r>
          </w:p>
        </w:tc>
        <w:tc>
          <w:tcPr>
            <w:tcW w:w="100" w:type="dxa"/>
            <w:vAlign w:val="bottom"/>
          </w:tcPr>
          <w:p>
            <w:pPr>
              <w:spacing w:after="0"/>
              <w:rPr>
                <w:sz w:val="22"/>
                <w:szCs w:val="22"/>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144,670</w:t>
            </w:r>
          </w:p>
        </w:tc>
        <w:tc>
          <w:tcPr>
            <w:tcW w:w="10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19,229,838</w:t>
            </w:r>
          </w:p>
        </w:tc>
      </w:tr>
      <w:tr>
        <w:trPr>
          <w:trHeight w:val="257"/>
        </w:trPr>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James G. Conroy</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264,380,448</w:t>
            </w:r>
          </w:p>
        </w:tc>
        <w:tc>
          <w:tcPr>
            <w:tcW w:w="10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1,938,195</w:t>
            </w:r>
          </w:p>
        </w:tc>
        <w:tc>
          <w:tcPr>
            <w:tcW w:w="100" w:type="dxa"/>
            <w:vAlign w:val="bottom"/>
          </w:tcPr>
          <w:p>
            <w:pPr>
              <w:spacing w:after="0"/>
              <w:rPr>
                <w:sz w:val="22"/>
                <w:szCs w:val="22"/>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148,598</w:t>
            </w:r>
          </w:p>
        </w:tc>
        <w:tc>
          <w:tcPr>
            <w:tcW w:w="10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19,229,838</w:t>
            </w:r>
          </w:p>
        </w:tc>
      </w:tr>
      <w:tr>
        <w:trPr>
          <w:trHeight w:val="256"/>
        </w:trPr>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Sharon D. Garrett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251,965,270</w:t>
            </w:r>
          </w:p>
        </w:tc>
        <w:tc>
          <w:tcPr>
            <w:tcW w:w="10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14,360,823</w:t>
            </w:r>
          </w:p>
        </w:tc>
        <w:tc>
          <w:tcPr>
            <w:tcW w:w="100" w:type="dxa"/>
            <w:vAlign w:val="bottom"/>
          </w:tcPr>
          <w:p>
            <w:pPr>
              <w:spacing w:after="0"/>
              <w:rPr>
                <w:sz w:val="22"/>
                <w:szCs w:val="22"/>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141,148</w:t>
            </w:r>
          </w:p>
        </w:tc>
        <w:tc>
          <w:tcPr>
            <w:tcW w:w="10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19,229,838</w:t>
            </w:r>
          </w:p>
        </w:tc>
      </w:tr>
      <w:tr>
        <w:trPr>
          <w:trHeight w:val="257"/>
        </w:trPr>
        <w:tc>
          <w:tcPr>
            <w:tcW w:w="2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Michael J. Hartshorn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261,446,381</w:t>
            </w:r>
          </w:p>
        </w:tc>
        <w:tc>
          <w:tcPr>
            <w:tcW w:w="10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4,873,719</w:t>
            </w:r>
          </w:p>
        </w:tc>
        <w:tc>
          <w:tcPr>
            <w:tcW w:w="100" w:type="dxa"/>
            <w:vAlign w:val="bottom"/>
          </w:tcPr>
          <w:p>
            <w:pPr>
              <w:spacing w:after="0"/>
              <w:rPr>
                <w:sz w:val="22"/>
                <w:szCs w:val="22"/>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147,141</w:t>
            </w:r>
          </w:p>
        </w:tc>
        <w:tc>
          <w:tcPr>
            <w:tcW w:w="10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19,229,838</w:t>
            </w:r>
          </w:p>
        </w:tc>
      </w:tr>
      <w:tr>
        <w:trPr>
          <w:trHeight w:val="257"/>
        </w:trPr>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Stephen D. Milligan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258,760,149</w:t>
            </w:r>
          </w:p>
        </w:tc>
        <w:tc>
          <w:tcPr>
            <w:tcW w:w="10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7,560,138</w:t>
            </w:r>
          </w:p>
        </w:tc>
        <w:tc>
          <w:tcPr>
            <w:tcW w:w="100" w:type="dxa"/>
            <w:vAlign w:val="bottom"/>
          </w:tcPr>
          <w:p>
            <w:pPr>
              <w:spacing w:after="0"/>
              <w:rPr>
                <w:sz w:val="22"/>
                <w:szCs w:val="22"/>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146,954</w:t>
            </w:r>
          </w:p>
        </w:tc>
        <w:tc>
          <w:tcPr>
            <w:tcW w:w="10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19,229,838</w:t>
            </w:r>
          </w:p>
        </w:tc>
      </w:tr>
      <w:tr>
        <w:trPr>
          <w:trHeight w:val="257"/>
        </w:trPr>
        <w:tc>
          <w:tcPr>
            <w:tcW w:w="28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Patricia H. Mueller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263,377,419</w:t>
            </w:r>
          </w:p>
        </w:tc>
        <w:tc>
          <w:tcPr>
            <w:tcW w:w="10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2,797,273</w:t>
            </w:r>
          </w:p>
        </w:tc>
        <w:tc>
          <w:tcPr>
            <w:tcW w:w="100" w:type="dxa"/>
            <w:vAlign w:val="bottom"/>
          </w:tcPr>
          <w:p>
            <w:pPr>
              <w:spacing w:after="0"/>
              <w:rPr>
                <w:sz w:val="22"/>
                <w:szCs w:val="22"/>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292,549</w:t>
            </w:r>
          </w:p>
        </w:tc>
        <w:tc>
          <w:tcPr>
            <w:tcW w:w="10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19,229,838</w:t>
            </w:r>
          </w:p>
        </w:tc>
      </w:tr>
      <w:tr>
        <w:trPr>
          <w:trHeight w:val="256"/>
        </w:trPr>
        <w:tc>
          <w:tcPr>
            <w:tcW w:w="2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Doniel N. Sutton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259,528,244</w:t>
            </w:r>
          </w:p>
        </w:tc>
        <w:tc>
          <w:tcPr>
            <w:tcW w:w="100" w:type="dxa"/>
            <w:vAlign w:val="bottom"/>
          </w:tcPr>
          <w:p>
            <w:pPr>
              <w:spacing w:after="0"/>
              <w:rPr>
                <w:sz w:val="22"/>
                <w:szCs w:val="2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6,639,950</w:t>
            </w:r>
          </w:p>
        </w:tc>
        <w:tc>
          <w:tcPr>
            <w:tcW w:w="100" w:type="dxa"/>
            <w:vAlign w:val="bottom"/>
          </w:tcPr>
          <w:p>
            <w:pPr>
              <w:spacing w:after="0"/>
              <w:rPr>
                <w:sz w:val="22"/>
                <w:szCs w:val="22"/>
                <w:color w:val="auto"/>
              </w:rPr>
            </w:pPr>
          </w:p>
        </w:tc>
        <w:tc>
          <w:tcPr>
            <w:tcW w:w="1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299,047</w:t>
            </w:r>
          </w:p>
        </w:tc>
        <w:tc>
          <w:tcPr>
            <w:tcW w:w="10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19,229,838</w:t>
            </w: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2 - Approval of the Ross Stores, Inc. 2026 Equity Incentive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holders of the Company’s common stock voted to approve the 2026 Equity Incentive Plan: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28"/>
        </w:trPr>
        <w:tc>
          <w:tcPr>
            <w:tcW w:w="18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257,919,061</w:t>
            </w:r>
          </w:p>
        </w:tc>
        <w:tc>
          <w:tcPr>
            <w:tcW w:w="100" w:type="dxa"/>
            <w:vAlign w:val="bottom"/>
          </w:tcPr>
          <w:p>
            <w:pPr>
              <w:spacing w:after="0"/>
              <w:rPr>
                <w:sz w:val="19"/>
                <w:szCs w:val="19"/>
                <w:color w:val="auto"/>
              </w:rPr>
            </w:pPr>
          </w:p>
        </w:tc>
        <w:tc>
          <w:tcPr>
            <w:tcW w:w="228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8,132,534</w:t>
            </w:r>
          </w:p>
        </w:tc>
        <w:tc>
          <w:tcPr>
            <w:tcW w:w="100" w:type="dxa"/>
            <w:vAlign w:val="bottom"/>
          </w:tcPr>
          <w:p>
            <w:pPr>
              <w:spacing w:after="0"/>
              <w:rPr>
                <w:sz w:val="19"/>
                <w:szCs w:val="19"/>
                <w:color w:val="auto"/>
              </w:rPr>
            </w:pPr>
          </w:p>
        </w:tc>
        <w:tc>
          <w:tcPr>
            <w:tcW w:w="19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415,646</w:t>
            </w:r>
          </w:p>
        </w:tc>
        <w:tc>
          <w:tcPr>
            <w:tcW w:w="80" w:type="dxa"/>
            <w:vAlign w:val="bottom"/>
          </w:tcPr>
          <w:p>
            <w:pPr>
              <w:spacing w:after="0"/>
              <w:rPr>
                <w:sz w:val="19"/>
                <w:szCs w:val="19"/>
                <w:color w:val="auto"/>
              </w:rPr>
            </w:pPr>
          </w:p>
        </w:tc>
        <w:tc>
          <w:tcPr>
            <w:tcW w:w="23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19,229,838</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3 - Advisory Vote to Approve the Resolution on 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an advisory vote, the holders of the Company’s common stock voted to approve the resolution regarding executive compensation: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0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28"/>
        </w:trPr>
        <w:tc>
          <w:tcPr>
            <w:tcW w:w="18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246,144,167</w:t>
            </w:r>
          </w:p>
        </w:tc>
        <w:tc>
          <w:tcPr>
            <w:tcW w:w="80" w:type="dxa"/>
            <w:vAlign w:val="bottom"/>
          </w:tcPr>
          <w:p>
            <w:pPr>
              <w:spacing w:after="0"/>
              <w:rPr>
                <w:sz w:val="19"/>
                <w:szCs w:val="19"/>
                <w:color w:val="auto"/>
              </w:rPr>
            </w:pPr>
          </w:p>
        </w:tc>
        <w:tc>
          <w:tcPr>
            <w:tcW w:w="23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19,809,647</w:t>
            </w:r>
          </w:p>
        </w:tc>
        <w:tc>
          <w:tcPr>
            <w:tcW w:w="100" w:type="dxa"/>
            <w:vAlign w:val="bottom"/>
          </w:tcPr>
          <w:p>
            <w:pPr>
              <w:spacing w:after="0"/>
              <w:rPr>
                <w:sz w:val="19"/>
                <w:szCs w:val="19"/>
                <w:color w:val="auto"/>
              </w:rPr>
            </w:pPr>
          </w:p>
        </w:tc>
        <w:tc>
          <w:tcPr>
            <w:tcW w:w="19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513,427</w:t>
            </w:r>
          </w:p>
        </w:tc>
        <w:tc>
          <w:tcPr>
            <w:tcW w:w="80" w:type="dxa"/>
            <w:vAlign w:val="bottom"/>
          </w:tcPr>
          <w:p>
            <w:pPr>
              <w:spacing w:after="0"/>
              <w:rPr>
                <w:sz w:val="19"/>
                <w:szCs w:val="19"/>
                <w:color w:val="auto"/>
              </w:rPr>
            </w:pPr>
          </w:p>
        </w:tc>
        <w:tc>
          <w:tcPr>
            <w:tcW w:w="23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19,229,838</w:t>
            </w:r>
          </w:p>
        </w:tc>
      </w:tr>
    </w:tbl>
    <w:p>
      <w:pPr>
        <w:spacing w:after="0" w:line="200" w:lineRule="exact"/>
        <w:rPr>
          <w:sz w:val="20"/>
          <w:szCs w:val="20"/>
          <w:color w:val="auto"/>
        </w:rPr>
      </w:pPr>
    </w:p>
    <w:p>
      <w:pPr>
        <w:spacing w:after="0" w:line="36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Proposal 4 - Ratification of the Appointment of Deloitte &amp; Touche LLP as the Company’s Independent Registered Public Accounting Firm for the Fiscal Year Ending January 30, 2027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holders of the Company’s common stock voted to ratify the appointment of Deloitte &amp; Touche LLP as the Company’s independent registered public accounting firm for the Company’s fiscal year ending January 30, 2027:</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28"/>
        </w:trPr>
        <w:tc>
          <w:tcPr>
            <w:tcW w:w="17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270,432,479</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15,149,535</w:t>
            </w:r>
          </w:p>
        </w:tc>
        <w:tc>
          <w:tcPr>
            <w:tcW w:w="120" w:type="dxa"/>
            <w:vAlign w:val="bottom"/>
          </w:tcPr>
          <w:p>
            <w:pPr>
              <w:spacing w:after="0"/>
              <w:rPr>
                <w:sz w:val="19"/>
                <w:szCs w:val="19"/>
                <w:color w:val="auto"/>
              </w:rPr>
            </w:pPr>
          </w:p>
        </w:tc>
        <w:tc>
          <w:tcPr>
            <w:tcW w:w="15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115,065</w:t>
            </w:r>
          </w:p>
        </w:tc>
      </w:tr>
    </w:tbl>
    <w:p>
      <w:pPr>
        <w:spacing w:after="0" w:line="200" w:lineRule="exact"/>
        <w:rPr>
          <w:sz w:val="20"/>
          <w:szCs w:val="20"/>
          <w:color w:val="auto"/>
        </w:rPr>
      </w:pPr>
    </w:p>
    <w:p>
      <w:pPr>
        <w:sectPr>
          <w:pgSz w:w="11900" w:h="16838" w:orient="portrait"/>
          <w:cols w:equalWidth="0" w:num="1">
            <w:col w:w="11240"/>
          </w:cols>
          <w:pgMar w:left="320" w:top="9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type w:val="continuous"/>
        </w:sectPr>
      </w:pPr>
    </w:p>
    <w:bookmarkStart w:id="2" w:name="page3"/>
    <w:bookmarkEnd w:id="2"/>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6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27, 2026</w:t>
      </w:r>
    </w:p>
    <w:p>
      <w:pPr>
        <w:spacing w:after="0" w:line="29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ROSS STORES, INC.</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 /s/Ken Jew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Ken Jew</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Group Senior Vice President, General Counsel and</w:t>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20"/>
      </w:cols>
      <w:pgMar w:left="32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2026-05-27T05:07:16Z</dcterms:created>
  <dcterms:modified xsi:type="dcterms:W3CDTF">2026-05-27T05:07:16Z</dcterms:modified>
</cp:coreProperties>
</file>