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6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6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5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October 28, 2024</w:t>
      </w:r>
    </w:p>
    <w:p>
      <w:pPr>
        <w:spacing w:after="0" w:line="37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ROSS STORES, INC.</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84" w:lineRule="exact"/>
        <w:rPr>
          <w:sz w:val="24"/>
          <w:szCs w:val="24"/>
          <w:color w:val="auto"/>
        </w:rPr>
      </w:pPr>
    </w:p>
    <w:p>
      <w:pPr>
        <w:ind w:left="1560"/>
        <w:spacing w:after="0"/>
        <w:tabs>
          <w:tab w:leader="none" w:pos="5300" w:val="left"/>
          <w:tab w:leader="none" w:pos="884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0-14678</w:t>
      </w:r>
      <w:r>
        <w:rPr>
          <w:sz w:val="20"/>
          <w:szCs w:val="20"/>
          <w:color w:val="auto"/>
        </w:rPr>
        <w:tab/>
      </w:r>
      <w:r>
        <w:rPr>
          <w:rFonts w:ascii="Times New Roman" w:cs="Times New Roman" w:eastAsia="Times New Roman" w:hAnsi="Times New Roman"/>
          <w:sz w:val="18"/>
          <w:szCs w:val="18"/>
          <w:b w:val="1"/>
          <w:bCs w:val="1"/>
          <w:color w:val="auto"/>
        </w:rPr>
        <w:t>94-1390387</w:t>
      </w:r>
    </w:p>
    <w:p>
      <w:pPr>
        <w:spacing w:after="0" w:line="31" w:lineRule="exact"/>
        <w:rPr>
          <w:sz w:val="24"/>
          <w:szCs w:val="24"/>
          <w:color w:val="auto"/>
        </w:rPr>
      </w:pPr>
    </w:p>
    <w:p>
      <w:pPr>
        <w:ind w:left="360"/>
        <w:spacing w:after="0"/>
        <w:tabs>
          <w:tab w:leader="none" w:pos="4760" w:val="left"/>
          <w:tab w:leader="none" w:pos="7980" w:val="left"/>
        </w:tabs>
        <w:rPr>
          <w:sz w:val="20"/>
          <w:szCs w:val="20"/>
          <w:color w:val="auto"/>
        </w:rPr>
      </w:pPr>
      <w:r>
        <w:rPr>
          <w:rFonts w:ascii="Times New Roman" w:cs="Times New Roman" w:eastAsia="Times New Roman" w:hAnsi="Times New Roman"/>
          <w:sz w:val="18"/>
          <w:szCs w:val="18"/>
          <w:color w:val="auto"/>
        </w:rPr>
        <w:t>(State or other jurisdiction of incorporation)</w:t>
      </w:r>
      <w:r>
        <w:rPr>
          <w:sz w:val="20"/>
          <w:szCs w:val="20"/>
          <w:color w:val="auto"/>
        </w:rPr>
        <w:tab/>
      </w:r>
      <w:r>
        <w:rPr>
          <w:rFonts w:ascii="Times New Roman" w:cs="Times New Roman" w:eastAsia="Times New Roman" w:hAnsi="Times New Roman"/>
          <w:sz w:val="18"/>
          <w:szCs w:val="18"/>
          <w:color w:val="auto"/>
        </w:rPr>
        <w:t>(Commission File No.)</w:t>
      </w:r>
      <w:r>
        <w:rPr>
          <w:sz w:val="20"/>
          <w:szCs w:val="20"/>
          <w:color w:val="auto"/>
        </w:rPr>
        <w:tab/>
      </w:r>
      <w:r>
        <w:rPr>
          <w:rFonts w:ascii="Times New Roman" w:cs="Times New Roman" w:eastAsia="Times New Roman" w:hAnsi="Times New Roman"/>
          <w:sz w:val="17"/>
          <w:szCs w:val="17"/>
          <w:color w:val="auto"/>
        </w:rPr>
        <w:t>(I.R.S. Employer Identification No.)</w:t>
      </w:r>
    </w:p>
    <w:p>
      <w:pPr>
        <w:spacing w:after="0" w:line="33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5130 Hacienda Drive, Dublin, California 94568</w:t>
      </w:r>
    </w:p>
    <w:p>
      <w:pPr>
        <w:spacing w:after="0" w:line="3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(925) 965-4400</w:t>
      </w:r>
    </w:p>
    <w:p>
      <w:pPr>
        <w:spacing w:after="0" w:line="36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8"/>
        <w:spacing w:after="0" w:line="524"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680" w:type="dxa"/>
        <w:tblCellMar>
          <w:top w:w="0" w:type="dxa"/>
          <w:left w:w="0" w:type="dxa"/>
          <w:bottom w:w="0" w:type="dxa"/>
          <w:right w:w="0" w:type="dxa"/>
        </w:tblCellMar>
      </w:tblPr>
      <w:tr>
        <w:trPr>
          <w:trHeight w:val="195"/>
        </w:trPr>
        <w:tc>
          <w:tcPr>
            <w:tcW w:w="500" w:type="dxa"/>
            <w:vAlign w:val="bottom"/>
          </w:tcPr>
          <w:p>
            <w:pPr>
              <w:spacing w:after="0"/>
              <w:rPr>
                <w:sz w:val="16"/>
                <w:szCs w:val="16"/>
                <w:color w:val="auto"/>
              </w:rPr>
            </w:pPr>
          </w:p>
        </w:tc>
        <w:tc>
          <w:tcPr>
            <w:tcW w:w="2740" w:type="dxa"/>
            <w:vAlign w:val="bottom"/>
            <w:gridSpan w:val="2"/>
          </w:tcPr>
          <w:p>
            <w:pPr>
              <w:jc w:val="center"/>
              <w:ind w:right="1440"/>
              <w:spacing w:after="0" w:line="195"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800" w:type="dxa"/>
            <w:vAlign w:val="bottom"/>
            <w:gridSpan w:val="3"/>
          </w:tcPr>
          <w:p>
            <w:pPr>
              <w:jc w:val="center"/>
              <w:ind w:left="90"/>
              <w:spacing w:after="0" w:line="195" w:lineRule="exact"/>
              <w:rPr>
                <w:sz w:val="20"/>
                <w:szCs w:val="20"/>
                <w:color w:val="auto"/>
              </w:rPr>
            </w:pPr>
            <w:r>
              <w:rPr>
                <w:rFonts w:ascii="Times New Roman" w:cs="Times New Roman" w:eastAsia="Times New Roman" w:hAnsi="Times New Roman"/>
                <w:sz w:val="18"/>
                <w:szCs w:val="18"/>
                <w:color w:val="auto"/>
                <w:w w:val="99"/>
              </w:rPr>
              <w:t>Trading symbol</w:t>
            </w:r>
          </w:p>
        </w:tc>
        <w:tc>
          <w:tcPr>
            <w:tcW w:w="3940" w:type="dxa"/>
            <w:vAlign w:val="bottom"/>
            <w:gridSpan w:val="2"/>
          </w:tcPr>
          <w:p>
            <w:pPr>
              <w:jc w:val="center"/>
              <w:ind w:left="670"/>
              <w:spacing w:after="0" w:line="195" w:lineRule="exact"/>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5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50"/>
        </w:trPr>
        <w:tc>
          <w:tcPr>
            <w:tcW w:w="32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Common stock, par value $.01</w:t>
            </w:r>
          </w:p>
        </w:tc>
        <w:tc>
          <w:tcPr>
            <w:tcW w:w="920" w:type="dxa"/>
            <w:vAlign w:val="bottom"/>
          </w:tcPr>
          <w:p>
            <w:pPr>
              <w:spacing w:after="0"/>
              <w:rPr>
                <w:sz w:val="21"/>
                <w:szCs w:val="21"/>
                <w:color w:val="auto"/>
              </w:rPr>
            </w:pPr>
          </w:p>
        </w:tc>
        <w:tc>
          <w:tcPr>
            <w:tcW w:w="188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ROST</w:t>
            </w:r>
          </w:p>
        </w:tc>
        <w:tc>
          <w:tcPr>
            <w:tcW w:w="760" w:type="dxa"/>
            <w:vAlign w:val="bottom"/>
          </w:tcPr>
          <w:p>
            <w:pPr>
              <w:spacing w:after="0"/>
              <w:rPr>
                <w:sz w:val="21"/>
                <w:szCs w:val="21"/>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200" w:lineRule="exact"/>
        <w:rPr>
          <w:sz w:val="24"/>
          <w:szCs w:val="24"/>
          <w:color w:val="auto"/>
        </w:rPr>
      </w:pPr>
    </w:p>
    <w:p>
      <w:pPr>
        <w:spacing w:after="0" w:line="335"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080"/>
          </w:cols>
          <w:pgMar w:left="320" w:top="1440" w:right="4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type w:val="continuous"/>
        </w:sectPr>
      </w:pPr>
    </w:p>
    <w:bookmarkStart w:id="1" w:name="page2"/>
    <w:bookmarkEnd w:id="1"/>
    <w:p>
      <w:pPr>
        <w:ind w:right="30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94" w:lineRule="exact"/>
        <w:rPr>
          <w:sz w:val="20"/>
          <w:szCs w:val="20"/>
          <w:color w:val="auto"/>
        </w:rPr>
      </w:pPr>
    </w:p>
    <w:p>
      <w:pPr>
        <w:jc w:val="both"/>
        <w:ind w:firstLine="8"/>
        <w:spacing w:after="0" w:line="256" w:lineRule="auto"/>
        <w:tabs>
          <w:tab w:leader="none" w:pos="249"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and (d) </w:t>
      </w:r>
      <w:r>
        <w:rPr>
          <w:rFonts w:ascii="Times New Roman" w:cs="Times New Roman" w:eastAsia="Times New Roman" w:hAnsi="Times New Roman"/>
          <w:sz w:val="18"/>
          <w:szCs w:val="18"/>
          <w:color w:val="auto"/>
        </w:rPr>
        <w:t>On October 28, 2024, Ross Stores, Inc. (the “Company”) announced that its Board of Directors (the “Board”) has appointed James G. Conroy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the Company’s next Chief Executive Officer (“CEO”), effective February 2, 2025 (the first day of the Company’s 2025 fiscal year). Before he takes the role of CEO, Mr. Conroy will first join the Company as Chief Executive Officer – Elect. On October 21, 2024, Mr. Conroy accepted an offer to join the Company, with an expected start date of December 2, 2024. While serving as Chief Executive Officer – Elect, Mr. Conroy will report to Michael Balmuth, the Company’s Executive Chairman. When he becomes CEO (effective February 2, 2025), Mr. Conroy will report to the Board. Mr. Conroy has also been elected as a member of the Board, effective on his first day of employment with the Company. In connection with such election, the size of the Company’s Board of Directors will be increased to 12 members.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with regard to the planned transition of Barbara Rentler, the Company’s current Vice Chair and Chief Executive Officer, and in accordance with the terms of her executive employment agreement, Ms. Rentler will cease to serve as CEO and will no longer be an executive officer of the Company, effective as of the end of the current fiscal year (February 1, 2025); she will also step down from the Board at that time. Thereafter, as planned, Ms. Rentler will continue as an employee of the Company, and will serve as a Senior Advisor for the remainder of her employment term, through March 31, 2027.</w:t>
      </w:r>
    </w:p>
    <w:p>
      <w:pPr>
        <w:spacing w:after="0" w:line="210"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Mr. Conroy, age 54, has over 25 years of management, operational, and consulting experience. He has most recently served since 2012 as President and Chief Executive Officer of Boot Barn Holdings, Inc. [NYSE:BOOT] (“Boot Barn”), one of the nation’s leading lifestyle retailers of western and work-related footwear, apparel, and accessories for men, women, and children, with over 400 locations in 46 states and an e-commerce channel. Prior to joining Boot Barn, Mr. Conroy was with Claire’s Stores, Inc. from 2007 to 2012, where Mr. Conroy served as Chief Operating Officer and Interim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Chief Executive Officer in 2012, as President from 2009 to 2012, and as Executive Vice President from 2007 to 2009. Prior to joining Claire’s Stores, Mr. Conroy served in various consulting roles from 2001 to 2007, including with Kurt Salmon Associates and Deloitte Consulting. Before that, he held various roles with consumer, entertainment, and consulting companies.</w:t>
      </w:r>
    </w:p>
    <w:p>
      <w:pPr>
        <w:spacing w:after="0" w:line="22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his employment, Mr. Conroy has entered into an employment agreement that provides for him to serve an initial term through March 31, 2029 (subject to renewal by mutual agreement), and to receive a salary of not less than $1,450,000 per year and an annual incentive bonus with a target of 200% of salary (beginning in fiscal 2025). He will also receive a Restricted Stock Unit Award, granted as of his start date, with a notional value of $8,000,000, to vest 25% on September 8, 2028 (or 50% if a stock appreciation condition is met by this date); and to vest a further 25% on March 23, 2029 (or a further 50% if the stock appreciation condition is met by this date), based on continued service with the Company. The “stock appreciation condition” is met if the closing sale price of a share of the Company’s Common Stock over any period of 30 consecutive trading days (as reported on the Nasdaq Stock Exchange) is not less than 125% of the closing sale price of the Common Stock on Mr. Conroy’s employment start date.</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offset forgone future incentive compensation opportunities at his current employer, on his employment start date Mr. Conroy will receive (i) a sign-on bonus of $7,625,000, subject to a 1-year payback requirement, and (ii) an initial Restricted Stock Award based on the closing price of the Company’s common stock on his start day, with a notional value of $32,200,000, vesting 40% on September 12, 2025; 40% on September 11, 2026; and 20% on September 10, 2027, based on continued service with the Company.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Conroy will also receive (i) a relocation bonus of $800,000, of which $300,000 is payable on his start date and $500,000 is payable upon purchase of a residence within 50 miles of the Company’s New York buying office, all subject to a 3-year payback requirement, (ii) temporary housing near the New York buying office, until his relocation to New York, and (iii) travel and relocation benefits to facilitate his relocation to New York.</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Conroy’s employment agreement also includes provisions regarding severance benefits (including in the event of termination in conjunction with a change of control), reimbursement of certain estate planning costs, participation in benefit plans, and paid vacation days, on substantially similar terms to those the Company provides to its other senior executive officers, as described in the Company’s Proxy Statement filed with the Securities Exchange Commission on April 9, 2024, pages 43-44. The employment agreement also includes provisions regarding reimbursement of legal fees related to review and negotiation of his employment agreement, non-solicitation of Company employees and business counterparties, non-disparagement, protection of Company confidential information, potential recoupment by the Company of performance-based compensation received if financial results are subsequently restated, and arbitration of disputes.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28, 2024, the Company issued a press release regarding the appointment of Mr. Conroy, initially as Chief Executive Officer – Elect, and (effective at the start of the next fiscal year) as Chief Executive Officer. The full text of the Company’s press release is attached hereto as Exhibit 99.1.</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information furnished with this Item 7.01, including Exhibit 99.1, shall not be deemed “filed” for purposes of Section 18 of the Securities Exchange Act of 1934, as amended (the “Exchange Act”), nor shall it be deemed incorporated by reference into any filing under the Securities Act of 1933, as amended, or the Exchange Act, except as expressly set forth by specific reference in such a filing.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2" w:lineRule="exact"/>
        <w:rPr>
          <w:sz w:val="20"/>
          <w:szCs w:val="20"/>
          <w:color w:val="auto"/>
        </w:rPr>
      </w:pPr>
    </w:p>
    <w:p>
      <w:pPr>
        <w:ind w:left="1100" w:hanging="444"/>
        <w:spacing w:after="0"/>
        <w:tabs>
          <w:tab w:leader="none" w:pos="11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56"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Exhibit</w:t>
            </w:r>
          </w:p>
        </w:tc>
        <w:tc>
          <w:tcPr>
            <w:tcW w:w="840" w:type="dxa"/>
            <w:vAlign w:val="bottom"/>
          </w:tcPr>
          <w:p>
            <w:pPr>
              <w:spacing w:after="0"/>
              <w:rPr>
                <w:sz w:val="17"/>
                <w:szCs w:val="17"/>
                <w:color w:val="auto"/>
              </w:rPr>
            </w:pPr>
          </w:p>
        </w:tc>
        <w:tc>
          <w:tcPr>
            <w:tcW w:w="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7"/>
              </w:rPr>
              <w:t>Description</w:t>
            </w:r>
          </w:p>
        </w:tc>
        <w:tc>
          <w:tcPr>
            <w:tcW w:w="8180" w:type="dxa"/>
            <w:vAlign w:val="bottom"/>
            <w:gridSpan w:val="2"/>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20" w:type="dxa"/>
            <w:vAlign w:val="bottom"/>
          </w:tcPr>
          <w:p>
            <w:pPr>
              <w:spacing w:after="0"/>
              <w:rPr>
                <w:sz w:val="14"/>
                <w:szCs w:val="14"/>
                <w:color w:val="auto"/>
              </w:rPr>
            </w:pPr>
          </w:p>
        </w:tc>
        <w:tc>
          <w:tcPr>
            <w:tcW w:w="26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No.</w:t>
            </w:r>
          </w:p>
        </w:tc>
        <w:tc>
          <w:tcPr>
            <w:tcW w:w="84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8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48"/>
        </w:trPr>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840" w:type="dxa"/>
            <w:vAlign w:val="bottom"/>
          </w:tcPr>
          <w:p>
            <w:pPr>
              <w:spacing w:after="0"/>
              <w:rPr>
                <w:sz w:val="24"/>
                <w:szCs w:val="24"/>
                <w:color w:val="auto"/>
              </w:rPr>
            </w:pPr>
          </w:p>
        </w:tc>
        <w:tc>
          <w:tcPr>
            <w:tcW w:w="3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October 28, 2024 Press Release by Ross Stores, Inc.</w:t>
            </w:r>
          </w:p>
        </w:tc>
        <w:tc>
          <w:tcPr>
            <w:tcW w:w="5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w w:val="99"/>
              </w:rPr>
              <w:t>Cover Page Interactive Data File. (The cover page interactive data file does not appear in the Interactive Data File because its</w:t>
            </w:r>
          </w:p>
        </w:tc>
        <w:tc>
          <w:tcPr>
            <w:tcW w:w="0" w:type="dxa"/>
            <w:vAlign w:val="bottom"/>
          </w:tcPr>
          <w:p>
            <w:pPr>
              <w:spacing w:after="0"/>
              <w:rPr>
                <w:sz w:val="1"/>
                <w:szCs w:val="1"/>
                <w:color w:val="auto"/>
              </w:rPr>
            </w:pPr>
          </w:p>
        </w:tc>
      </w:tr>
      <w:tr>
        <w:trPr>
          <w:trHeight w:val="243"/>
        </w:trPr>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40" w:type="dxa"/>
            <w:vAlign w:val="bottom"/>
          </w:tcPr>
          <w:p>
            <w:pPr>
              <w:spacing w:after="0"/>
              <w:rPr>
                <w:sz w:val="21"/>
                <w:szCs w:val="21"/>
                <w:color w:val="auto"/>
              </w:rPr>
            </w:pPr>
          </w:p>
        </w:tc>
        <w:tc>
          <w:tcPr>
            <w:tcW w:w="9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28, 2024</w:t>
      </w:r>
    </w:p>
    <w:p>
      <w:pPr>
        <w:spacing w:after="0" w:line="28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ROSS STORES, INC.</w:t>
      </w:r>
    </w:p>
    <w:p>
      <w:pPr>
        <w:spacing w:after="0" w:line="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Registrant</w:t>
      </w:r>
    </w:p>
    <w:p>
      <w:pPr>
        <w:spacing w:after="0" w:line="28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By:  /s/Ken Jew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17145</wp:posOffset>
            </wp:positionV>
            <wp:extent cx="2254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1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Ken Jew</w:t>
      </w:r>
    </w:p>
    <w:p>
      <w:pPr>
        <w:spacing w:after="0" w:line="1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Group Senior Vice President, General Counsel</w:t>
      </w:r>
    </w:p>
    <w:p>
      <w:pPr>
        <w:ind w:left="4900"/>
        <w:spacing w:after="0"/>
        <w:rPr>
          <w:sz w:val="20"/>
          <w:szCs w:val="20"/>
          <w:color w:val="auto"/>
        </w:rPr>
      </w:pPr>
      <w:r>
        <w:rPr>
          <w:rFonts w:ascii="Times New Roman" w:cs="Times New Roman" w:eastAsia="Times New Roman" w:hAnsi="Times New Roman"/>
          <w:sz w:val="18"/>
          <w:szCs w:val="18"/>
          <w:color w:val="auto"/>
        </w:rPr>
        <w:t>and</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7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1817370" cy="488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737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7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w:t>
            </w:r>
          </w:p>
        </w:tc>
      </w:tr>
      <w:tr>
        <w:trPr>
          <w:trHeight w:val="736"/>
        </w:trPr>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880" w:type="dxa"/>
            <w:vAlign w:val="bottom"/>
          </w:tcPr>
          <w:p>
            <w:pPr>
              <w:ind w:left="60"/>
              <w:spacing w:after="0"/>
              <w:rPr>
                <w:sz w:val="20"/>
                <w:szCs w:val="20"/>
                <w:color w:val="auto"/>
              </w:rPr>
            </w:pPr>
            <w:r>
              <w:rPr>
                <w:rFonts w:ascii="Arial" w:cs="Arial" w:eastAsia="Arial" w:hAnsi="Arial"/>
                <w:sz w:val="20"/>
                <w:szCs w:val="20"/>
                <w:b w:val="1"/>
                <w:bCs w:val="1"/>
                <w:color w:val="auto"/>
              </w:rPr>
              <w:t>FOR IMMEDIATE RELEASE</w:t>
            </w:r>
          </w:p>
        </w:tc>
      </w:tr>
      <w:tr>
        <w:trPr>
          <w:trHeight w:val="479"/>
        </w:trPr>
        <w:tc>
          <w:tcPr>
            <w:tcW w:w="1360" w:type="dxa"/>
            <w:vAlign w:val="bottom"/>
            <w:gridSpan w:val="2"/>
          </w:tcPr>
          <w:p>
            <w:pPr>
              <w:spacing w:after="0"/>
              <w:rPr>
                <w:sz w:val="20"/>
                <w:szCs w:val="20"/>
                <w:color w:val="auto"/>
              </w:rPr>
            </w:pPr>
            <w:r>
              <w:rPr>
                <w:rFonts w:ascii="Arial" w:cs="Arial" w:eastAsia="Arial" w:hAnsi="Arial"/>
                <w:sz w:val="20"/>
                <w:szCs w:val="20"/>
                <w:b w:val="1"/>
                <w:bCs w:val="1"/>
                <w:color w:val="auto"/>
              </w:rPr>
              <w:t>Contact:</w:t>
            </w:r>
          </w:p>
        </w:tc>
        <w:tc>
          <w:tcPr>
            <w:tcW w:w="2860" w:type="dxa"/>
            <w:vAlign w:val="bottom"/>
          </w:tcPr>
          <w:p>
            <w:pPr>
              <w:ind w:left="560"/>
              <w:spacing w:after="0"/>
              <w:rPr>
                <w:sz w:val="20"/>
                <w:szCs w:val="20"/>
                <w:color w:val="auto"/>
              </w:rPr>
            </w:pPr>
            <w:r>
              <w:rPr>
                <w:rFonts w:ascii="Arial" w:cs="Arial" w:eastAsia="Arial" w:hAnsi="Arial"/>
                <w:sz w:val="20"/>
                <w:szCs w:val="20"/>
                <w:color w:val="auto"/>
              </w:rPr>
              <w:t>Adam Orvos</w:t>
            </w:r>
          </w:p>
        </w:tc>
        <w:tc>
          <w:tcPr>
            <w:tcW w:w="5880" w:type="dxa"/>
            <w:vAlign w:val="bottom"/>
          </w:tcPr>
          <w:p>
            <w:pPr>
              <w:ind w:left="2300"/>
              <w:spacing w:after="0"/>
              <w:rPr>
                <w:sz w:val="20"/>
                <w:szCs w:val="20"/>
                <w:color w:val="auto"/>
              </w:rPr>
            </w:pPr>
            <w:r>
              <w:rPr>
                <w:rFonts w:ascii="Arial" w:cs="Arial" w:eastAsia="Arial" w:hAnsi="Arial"/>
                <w:sz w:val="20"/>
                <w:szCs w:val="20"/>
                <w:color w:val="auto"/>
              </w:rPr>
              <w:t>Connie Kao</w:t>
            </w:r>
          </w:p>
        </w:tc>
      </w:tr>
      <w:tr>
        <w:trPr>
          <w:trHeight w:val="296"/>
        </w:trPr>
        <w:tc>
          <w:tcPr>
            <w:tcW w:w="80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860" w:type="dxa"/>
            <w:vAlign w:val="bottom"/>
          </w:tcPr>
          <w:p>
            <w:pPr>
              <w:ind w:left="560"/>
              <w:spacing w:after="0"/>
              <w:rPr>
                <w:sz w:val="20"/>
                <w:szCs w:val="20"/>
                <w:color w:val="auto"/>
              </w:rPr>
            </w:pPr>
            <w:r>
              <w:rPr>
                <w:rFonts w:ascii="Arial" w:cs="Arial" w:eastAsia="Arial" w:hAnsi="Arial"/>
                <w:sz w:val="20"/>
                <w:szCs w:val="20"/>
                <w:color w:val="auto"/>
              </w:rPr>
              <w:t>Executive Vice President,</w:t>
            </w:r>
          </w:p>
        </w:tc>
        <w:tc>
          <w:tcPr>
            <w:tcW w:w="5880" w:type="dxa"/>
            <w:vAlign w:val="bottom"/>
          </w:tcPr>
          <w:p>
            <w:pPr>
              <w:ind w:left="2300"/>
              <w:spacing w:after="0"/>
              <w:rPr>
                <w:sz w:val="20"/>
                <w:szCs w:val="20"/>
                <w:color w:val="auto"/>
              </w:rPr>
            </w:pPr>
            <w:r>
              <w:rPr>
                <w:rFonts w:ascii="Arial" w:cs="Arial" w:eastAsia="Arial" w:hAnsi="Arial"/>
                <w:sz w:val="20"/>
                <w:szCs w:val="20"/>
                <w:color w:val="auto"/>
                <w:w w:val="98"/>
              </w:rPr>
              <w:t>Group Vice President, Investor Relations</w:t>
            </w:r>
          </w:p>
        </w:tc>
      </w:tr>
      <w:tr>
        <w:trPr>
          <w:trHeight w:val="256"/>
        </w:trPr>
        <w:tc>
          <w:tcPr>
            <w:tcW w:w="8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60" w:type="dxa"/>
            <w:vAlign w:val="bottom"/>
          </w:tcPr>
          <w:p>
            <w:pPr>
              <w:ind w:left="560"/>
              <w:spacing w:after="0"/>
              <w:rPr>
                <w:sz w:val="20"/>
                <w:szCs w:val="20"/>
                <w:color w:val="auto"/>
              </w:rPr>
            </w:pPr>
            <w:r>
              <w:rPr>
                <w:rFonts w:ascii="Arial" w:cs="Arial" w:eastAsia="Arial" w:hAnsi="Arial"/>
                <w:sz w:val="20"/>
                <w:szCs w:val="20"/>
                <w:color w:val="auto"/>
              </w:rPr>
              <w:t>Chief Financial Officer</w:t>
            </w:r>
          </w:p>
        </w:tc>
        <w:tc>
          <w:tcPr>
            <w:tcW w:w="5880" w:type="dxa"/>
            <w:vAlign w:val="bottom"/>
          </w:tcPr>
          <w:p>
            <w:pPr>
              <w:ind w:left="2300"/>
              <w:spacing w:after="0"/>
              <w:rPr>
                <w:sz w:val="20"/>
                <w:szCs w:val="20"/>
                <w:color w:val="auto"/>
              </w:rPr>
            </w:pPr>
            <w:r>
              <w:rPr>
                <w:rFonts w:ascii="Arial" w:cs="Arial" w:eastAsia="Arial" w:hAnsi="Arial"/>
                <w:sz w:val="20"/>
                <w:szCs w:val="20"/>
                <w:color w:val="auto"/>
              </w:rPr>
              <w:t>(925) 965-4668</w:t>
            </w:r>
          </w:p>
        </w:tc>
      </w:tr>
      <w:tr>
        <w:trPr>
          <w:trHeight w:val="261"/>
        </w:trPr>
        <w:tc>
          <w:tcPr>
            <w:tcW w:w="8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60" w:type="dxa"/>
            <w:vAlign w:val="bottom"/>
          </w:tcPr>
          <w:p>
            <w:pPr>
              <w:ind w:left="560"/>
              <w:spacing w:after="0"/>
              <w:rPr>
                <w:sz w:val="20"/>
                <w:szCs w:val="20"/>
                <w:color w:val="auto"/>
              </w:rPr>
            </w:pPr>
            <w:r>
              <w:rPr>
                <w:rFonts w:ascii="Arial" w:cs="Arial" w:eastAsia="Arial" w:hAnsi="Arial"/>
                <w:sz w:val="20"/>
                <w:szCs w:val="20"/>
                <w:color w:val="auto"/>
              </w:rPr>
              <w:t>(925) 965-4550</w:t>
            </w:r>
          </w:p>
        </w:tc>
        <w:tc>
          <w:tcPr>
            <w:tcW w:w="5880" w:type="dxa"/>
            <w:vAlign w:val="bottom"/>
          </w:tcPr>
          <w:p>
            <w:pPr>
              <w:ind w:left="2300"/>
              <w:spacing w:after="0"/>
              <w:rPr>
                <w:sz w:val="20"/>
                <w:szCs w:val="20"/>
                <w:color w:val="auto"/>
              </w:rPr>
            </w:pPr>
            <w:r>
              <w:rPr>
                <w:rFonts w:ascii="Arial" w:cs="Arial" w:eastAsia="Arial" w:hAnsi="Arial"/>
                <w:sz w:val="20"/>
                <w:szCs w:val="20"/>
                <w:color w:val="auto"/>
              </w:rPr>
              <w:t>connie.kao@ros.com</w:t>
            </w:r>
          </w:p>
        </w:tc>
      </w:tr>
    </w:tbl>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ROSS STORES NAMES JAMES G. CONROY AS NEXT CHIEF EXECUTIVE OFFICER</w:t>
      </w: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color w:val="auto"/>
        </w:rPr>
        <w:t xml:space="preserve">Dublin, California, October 28, 2024 </w:t>
      </w:r>
      <w:r>
        <w:rPr>
          <w:rFonts w:ascii="Arial" w:cs="Arial" w:eastAsia="Arial" w:hAnsi="Arial"/>
          <w:sz w:val="20"/>
          <w:szCs w:val="20"/>
          <w:color w:val="auto"/>
        </w:rPr>
        <w:t>-- Ross Stores, Inc. (Nasdaq: ROST) announced today that its Board of Directors</w:t>
      </w:r>
      <w:r>
        <w:rPr>
          <w:rFonts w:ascii="Arial" w:cs="Arial" w:eastAsia="Arial" w:hAnsi="Arial"/>
          <w:sz w:val="20"/>
          <w:szCs w:val="20"/>
          <w:b w:val="1"/>
          <w:bCs w:val="1"/>
          <w:color w:val="auto"/>
        </w:rPr>
        <w:t xml:space="preserve"> </w:t>
      </w:r>
      <w:r>
        <w:rPr>
          <w:rFonts w:ascii="Arial" w:cs="Arial" w:eastAsia="Arial" w:hAnsi="Arial"/>
          <w:sz w:val="20"/>
          <w:szCs w:val="20"/>
          <w:color w:val="auto"/>
        </w:rPr>
        <w:t>has appointed James Conroy (54), a seasoned retail CEO, as Chief Executive Officer, succeeding Barbara Rentler effective February 2, 2025. Initially, Mr. Conroy will join the Company on December 2, 2024 as Chief Executive Officer – Elect, when he will also become a member of the Board of Directors, reporting to Executive Chairman Michael Balmuth. Upon becoming CEO, he will report directly to the Company’s full Board of Directors.</w:t>
      </w:r>
    </w:p>
    <w:p>
      <w:pPr>
        <w:spacing w:after="0" w:line="211" w:lineRule="exact"/>
        <w:rPr>
          <w:sz w:val="20"/>
          <w:szCs w:val="20"/>
          <w:color w:val="auto"/>
        </w:rPr>
      </w:pPr>
    </w:p>
    <w:p>
      <w:pPr>
        <w:jc w:val="both"/>
        <w:ind w:firstLine="648"/>
        <w:spacing w:after="0" w:line="242" w:lineRule="exact"/>
        <w:rPr>
          <w:sz w:val="20"/>
          <w:szCs w:val="20"/>
          <w:color w:val="auto"/>
        </w:rPr>
      </w:pPr>
      <w:r>
        <w:rPr>
          <w:rFonts w:ascii="Arial" w:cs="Arial" w:eastAsia="Arial" w:hAnsi="Arial"/>
          <w:sz w:val="20"/>
          <w:szCs w:val="20"/>
          <w:color w:val="auto"/>
        </w:rPr>
        <w:t>Mr. Conroy is a talented retail executive with more than 25 years of management, operational, and consulting experience. Most recently since 2012, Mr. Conroy has served as President and Chief Executive Officer of Boot Barn, one of the nation’s leading lifestyle retailers of western and work-related footwear, apparel, and accessories for men, women, and children, with over 400 locations in 46 states and an e-commerce channel. Prior to joining Boot Barn, Mr. Conroy served in various executive roles at Claire’s Stores, Inc. from 2007 to 2012, including Chief Operating Officer and Interim Co</w:t>
      </w:r>
      <w:r>
        <w:rPr>
          <w:rFonts w:ascii="MS PGothic" w:cs="MS PGothic" w:eastAsia="MS PGothic" w:hAnsi="MS PGothic"/>
          <w:sz w:val="20"/>
          <w:szCs w:val="20"/>
          <w:color w:val="auto"/>
        </w:rPr>
        <w:t>‑</w:t>
      </w:r>
      <w:r>
        <w:rPr>
          <w:rFonts w:ascii="Arial" w:cs="Arial" w:eastAsia="Arial" w:hAnsi="Arial"/>
          <w:sz w:val="20"/>
          <w:szCs w:val="20"/>
          <w:color w:val="auto"/>
        </w:rPr>
        <w:t>Chief Executive Officer in 2012 and President from 2009 to 2012.</w:t>
      </w:r>
    </w:p>
    <w:p>
      <w:pPr>
        <w:spacing w:after="0" w:line="2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Mr. Conroy’s appointment follows a comprehensive search process launched when Ross announced its long-term CEO succession plan in June 2023. As part of the previously announced succession plan, Barbara Rentler (67), current Chief Executive Officer and Vice Chair, will move to an advisory role as of February 2, 2025, where she will continue to play an important role in the ongoing implementation of merchandising strategies through March 31, 2027.</w:t>
      </w:r>
    </w:p>
    <w:p>
      <w:pPr>
        <w:spacing w:after="0" w:line="20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Michael Balmuth, Executive Chairman said, “We are excited to welcome Jim to Ross as we build on our long history of profitable growth. Jim is a proven retail executive with a demonstrated record of developing and leading successful retail management teams and creating tremendous value for shareholders. We also are confident that Jim’s track record of leveraging customer-centric retail strategies to maximize top- and bottom-line results will help drive our Company’s profitable growth and shareholder value over the near and long term.”</w:t>
      </w:r>
    </w:p>
    <w:p>
      <w:pPr>
        <w:spacing w:after="0" w:line="21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Mr. Balmuth continued, “On behalf of the Board and all our associates, I especially want to express our sincere gratitude to Barbara Rentler for her outstanding leadership as CEO over the last decade, as well as her almost 40 years with the Company. She has been instrumental in developing our current exceptional merchandising and operational organization that has set a strong foundation for continued growth. We are grateful that we will also be able to benefit from Barbara’s expertise in an advisory capacity over the next few years.”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089" w:right="339" w:bottom="1440" w:gutter="0" w:footer="0" w:header="0"/>
        </w:sectPr>
      </w:pPr>
    </w:p>
    <w:bookmarkStart w:id="4" w:name="page5"/>
    <w:bookmarkEnd w:id="4"/>
    <w:p>
      <w:pPr>
        <w:jc w:val="both"/>
        <w:ind w:firstLine="648"/>
        <w:spacing w:after="0" w:line="258" w:lineRule="auto"/>
        <w:rPr>
          <w:sz w:val="20"/>
          <w:szCs w:val="20"/>
          <w:color w:val="auto"/>
        </w:rPr>
      </w:pPr>
      <w:r>
        <w:rPr>
          <w:rFonts w:ascii="Arial" w:cs="Arial" w:eastAsia="Arial" w:hAnsi="Arial"/>
          <w:sz w:val="20"/>
          <w:szCs w:val="20"/>
          <w:color w:val="auto"/>
        </w:rPr>
        <w:t>Ms. Rentler, Chief Executive Officer said, “I am deeply grateful not only for the last ten years, serving as CEO of Ross, but also for my entire tenure with the organization since joining the Company in 1986. For almost four decades, I have been privileged to work with some of the most talented people in retail. Their commitment and hard work have contributed to our expansion and profitability over the years. I thank all our valued associates for their efforts and look forward to the continued growth and success of our Company.”</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Mr. Conroy said, “I have long admired Ross Stores’ strong customer-focused value offerings and its incredible growth trajectory. I am very excited to be joining the Company and for the opportunity to work with a tremendously talented leadership team to build on the Company’s long track record of success.”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Ross Stores, Inc.</w:t>
      </w:r>
    </w:p>
    <w:p>
      <w:pPr>
        <w:spacing w:after="0" w:line="96" w:lineRule="exact"/>
        <w:rPr>
          <w:sz w:val="20"/>
          <w:szCs w:val="20"/>
          <w:color w:val="auto"/>
        </w:rPr>
      </w:pPr>
    </w:p>
    <w:p>
      <w:pPr>
        <w:jc w:val="both"/>
        <w:spacing w:after="0" w:line="321" w:lineRule="auto"/>
        <w:rPr>
          <w:sz w:val="20"/>
          <w:szCs w:val="20"/>
          <w:color w:val="auto"/>
        </w:rPr>
      </w:pPr>
      <w:r>
        <w:rPr>
          <w:rFonts w:ascii="Arial" w:cs="Arial" w:eastAsia="Arial" w:hAnsi="Arial"/>
          <w:sz w:val="20"/>
          <w:szCs w:val="20"/>
          <w:color w:val="auto"/>
        </w:rPr>
        <w:t>Ross Stores, Inc. is an S&amp;P 500, Fortune 500, and Nasdaq 100 (ROST) company headquartered in Dublin, California, with fiscal 2023 revenues of $20.4 billion. Currently, the Company operates Ross Dress for Less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(“Ross”), the largest off-price apparel and home fashion chain in the United States with 1,836 locations in 43 states, the District of Columbia, and Guam. Ross offers first-quality, in-season, name brand and designer apparel, accessories, footwear, and home fashions for the entire family at savings of 20% to 60% off department and specialty store regular prices every day. The Company also operates 356 dd’s DISCOUNTS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stores in 22 states that feature a more moderately-priced assortment of first-quality, in-season, name brand apparel, accessories, footwear, and home fashions for the entire family at savings of 20% to 70% off moderate department and discount store regular prices every day. Additional information is available at </w:t>
      </w:r>
      <w:r>
        <w:rPr>
          <w:rFonts w:ascii="Arial" w:cs="Arial" w:eastAsia="Arial" w:hAnsi="Arial"/>
          <w:sz w:val="20"/>
          <w:szCs w:val="20"/>
          <w:color w:val="0000FF"/>
        </w:rPr>
        <w:t>www.rossstores.com</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240"/>
      </w:cols>
      <w:pgMar w:left="320" w:top="6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2024-10-28T19:52:51Z</dcterms:created>
  <dcterms:modified xsi:type="dcterms:W3CDTF">2024-10-28T19:52:51Z</dcterms:modified>
</cp:coreProperties>
</file>