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1" w:lineRule="exact"/>
        <w:rPr>
          <w:sz w:val="24"/>
          <w:szCs w:val="24"/>
          <w:color w:val="auto"/>
        </w:rPr>
      </w:pPr>
    </w:p>
    <w:p>
      <w:pPr>
        <w:jc w:val="center"/>
        <w:ind w:right="-179"/>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34"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Washington, D.C. 20549</w:t>
      </w:r>
    </w:p>
    <w:p>
      <w:pPr>
        <w:spacing w:after="0" w:line="223"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Form 8-K</w:t>
      </w:r>
    </w:p>
    <w:p>
      <w:pPr>
        <w:spacing w:after="0" w:line="262"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CURRENT REPORT</w:t>
      </w:r>
    </w:p>
    <w:p>
      <w:pPr>
        <w:spacing w:after="0" w:line="200" w:lineRule="exact"/>
        <w:rPr>
          <w:sz w:val="24"/>
          <w:szCs w:val="24"/>
          <w:color w:val="auto"/>
        </w:rPr>
      </w:pPr>
    </w:p>
    <w:p>
      <w:pPr>
        <w:spacing w:after="0" w:line="255"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67"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Date of report (date of earliest event reported):</w:t>
      </w:r>
    </w:p>
    <w:p>
      <w:pPr>
        <w:spacing w:after="0" w:line="59"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August 19, 2020</w:t>
      </w:r>
    </w:p>
    <w:p>
      <w:pPr>
        <w:spacing w:after="0" w:line="387"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ROSS STORES, INC.</w:t>
      </w:r>
    </w:p>
    <w:p>
      <w:pPr>
        <w:spacing w:after="0" w:line="27"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(Exact name of registrant as specified in its charter)</w:t>
      </w:r>
    </w:p>
    <w:p>
      <w:pPr>
        <w:spacing w:after="0" w:line="288" w:lineRule="exact"/>
        <w:rPr>
          <w:sz w:val="24"/>
          <w:szCs w:val="24"/>
          <w:color w:val="auto"/>
        </w:rPr>
      </w:pPr>
    </w:p>
    <w:p>
      <w:pPr>
        <w:ind w:left="1560"/>
        <w:spacing w:after="0"/>
        <w:tabs>
          <w:tab w:leader="none" w:pos="5300" w:val="left"/>
          <w:tab w:leader="none" w:pos="8840" w:val="left"/>
        </w:tabs>
        <w:rPr>
          <w:sz w:val="20"/>
          <w:szCs w:val="20"/>
          <w:color w:val="auto"/>
        </w:rPr>
      </w:pPr>
      <w:r>
        <w:rPr>
          <w:rFonts w:ascii="Arial" w:cs="Arial" w:eastAsia="Arial" w:hAnsi="Arial"/>
          <w:sz w:val="18"/>
          <w:szCs w:val="18"/>
          <w:b w:val="1"/>
          <w:bCs w:val="1"/>
          <w:color w:val="auto"/>
        </w:rPr>
        <w:t>Delaware</w:t>
      </w:r>
      <w:r>
        <w:rPr>
          <w:sz w:val="20"/>
          <w:szCs w:val="20"/>
          <w:color w:val="auto"/>
        </w:rPr>
        <w:tab/>
      </w:r>
      <w:r>
        <w:rPr>
          <w:rFonts w:ascii="Arial" w:cs="Arial" w:eastAsia="Arial" w:hAnsi="Arial"/>
          <w:sz w:val="18"/>
          <w:szCs w:val="18"/>
          <w:b w:val="1"/>
          <w:bCs w:val="1"/>
          <w:color w:val="auto"/>
        </w:rPr>
        <w:t>0-14678</w:t>
      </w:r>
      <w:r>
        <w:rPr>
          <w:sz w:val="20"/>
          <w:szCs w:val="20"/>
          <w:color w:val="auto"/>
        </w:rPr>
        <w:tab/>
      </w:r>
      <w:r>
        <w:rPr>
          <w:rFonts w:ascii="Arial" w:cs="Arial" w:eastAsia="Arial" w:hAnsi="Arial"/>
          <w:sz w:val="16"/>
          <w:szCs w:val="16"/>
          <w:b w:val="1"/>
          <w:bCs w:val="1"/>
          <w:color w:val="auto"/>
        </w:rPr>
        <w:t>94-1390387</w:t>
      </w:r>
    </w:p>
    <w:p>
      <w:pPr>
        <w:spacing w:after="0" w:line="81" w:lineRule="exact"/>
        <w:rPr>
          <w:sz w:val="24"/>
          <w:szCs w:val="24"/>
          <w:color w:val="auto"/>
        </w:rPr>
      </w:pPr>
    </w:p>
    <w:p>
      <w:pPr>
        <w:ind w:left="360"/>
        <w:spacing w:after="0"/>
        <w:tabs>
          <w:tab w:leader="none" w:pos="4760" w:val="left"/>
          <w:tab w:leader="none" w:pos="7980" w:val="left"/>
        </w:tabs>
        <w:rPr>
          <w:sz w:val="20"/>
          <w:szCs w:val="20"/>
          <w:color w:val="auto"/>
        </w:rPr>
      </w:pPr>
      <w:r>
        <w:rPr>
          <w:rFonts w:ascii="Arial" w:cs="Arial" w:eastAsia="Arial" w:hAnsi="Arial"/>
          <w:sz w:val="18"/>
          <w:szCs w:val="18"/>
          <w:color w:val="auto"/>
        </w:rPr>
        <w:t>(State or other jurisdiction of incorporation)</w:t>
      </w:r>
      <w:r>
        <w:rPr>
          <w:sz w:val="20"/>
          <w:szCs w:val="20"/>
          <w:color w:val="auto"/>
        </w:rPr>
        <w:tab/>
      </w:r>
      <w:r>
        <w:rPr>
          <w:rFonts w:ascii="Arial" w:cs="Arial" w:eastAsia="Arial" w:hAnsi="Arial"/>
          <w:sz w:val="18"/>
          <w:szCs w:val="18"/>
          <w:color w:val="auto"/>
        </w:rPr>
        <w:t>(Commission File No.)</w:t>
      </w:r>
      <w:r>
        <w:rPr>
          <w:sz w:val="20"/>
          <w:szCs w:val="20"/>
          <w:color w:val="auto"/>
        </w:rPr>
        <w:tab/>
      </w:r>
      <w:r>
        <w:rPr>
          <w:rFonts w:ascii="Arial" w:cs="Arial" w:eastAsia="Arial" w:hAnsi="Arial"/>
          <w:sz w:val="16"/>
          <w:szCs w:val="16"/>
          <w:color w:val="auto"/>
        </w:rPr>
        <w:t>(I.R.S. Employer Identification No.)</w:t>
      </w:r>
    </w:p>
    <w:p>
      <w:pPr>
        <w:spacing w:after="0" w:line="383" w:lineRule="exact"/>
        <w:rPr>
          <w:sz w:val="24"/>
          <w:szCs w:val="24"/>
          <w:color w:val="auto"/>
        </w:rPr>
      </w:pPr>
    </w:p>
    <w:p>
      <w:pPr>
        <w:ind w:left="3820"/>
        <w:spacing w:after="0"/>
        <w:rPr>
          <w:sz w:val="20"/>
          <w:szCs w:val="20"/>
          <w:color w:val="auto"/>
        </w:rPr>
      </w:pPr>
      <w:r>
        <w:rPr>
          <w:rFonts w:ascii="Arial" w:cs="Arial" w:eastAsia="Arial" w:hAnsi="Arial"/>
          <w:sz w:val="18"/>
          <w:szCs w:val="18"/>
          <w:b w:val="1"/>
          <w:bCs w:val="1"/>
          <w:color w:val="auto"/>
        </w:rPr>
        <w:t>5130 Hacienda Drive, Dublin, California 94568</w:t>
      </w:r>
    </w:p>
    <w:p>
      <w:pPr>
        <w:spacing w:after="0" w:line="27" w:lineRule="exact"/>
        <w:rPr>
          <w:sz w:val="24"/>
          <w:szCs w:val="24"/>
          <w:color w:val="auto"/>
        </w:rPr>
      </w:pPr>
    </w:p>
    <w:p>
      <w:pPr>
        <w:ind w:left="4200"/>
        <w:spacing w:after="0"/>
        <w:rPr>
          <w:sz w:val="20"/>
          <w:szCs w:val="20"/>
          <w:color w:val="auto"/>
        </w:rPr>
      </w:pPr>
      <w:r>
        <w:rPr>
          <w:rFonts w:ascii="Arial" w:cs="Arial" w:eastAsia="Arial" w:hAnsi="Arial"/>
          <w:sz w:val="18"/>
          <w:szCs w:val="18"/>
          <w:color w:val="auto"/>
        </w:rPr>
        <w:t>(Address of principal executive offices)</w:t>
      </w:r>
    </w:p>
    <w:p>
      <w:pPr>
        <w:spacing w:after="0" w:line="238"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Registrant's telephone number, including area code:</w:t>
      </w:r>
    </w:p>
    <w:p>
      <w:pPr>
        <w:spacing w:after="0" w:line="23"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(925) 965-4400</w:t>
      </w:r>
    </w:p>
    <w:p>
      <w:pPr>
        <w:spacing w:after="0" w:line="292"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20" w:firstLine="8"/>
        <w:spacing w:after="0" w:line="527" w:lineRule="auto"/>
        <w:tabs>
          <w:tab w:leader="none" w:pos="207"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700" w:type="dxa"/>
        <w:tblCellMar>
          <w:top w:w="0" w:type="dxa"/>
          <w:left w:w="0" w:type="dxa"/>
          <w:bottom w:w="0" w:type="dxa"/>
          <w:right w:w="0" w:type="dxa"/>
        </w:tblCellMar>
      </w:tblPr>
      <w:tr>
        <w:trPr>
          <w:trHeight w:val="199"/>
        </w:trPr>
        <w:tc>
          <w:tcPr>
            <w:tcW w:w="520" w:type="dxa"/>
            <w:vAlign w:val="bottom"/>
          </w:tcPr>
          <w:p>
            <w:pPr>
              <w:spacing w:after="0"/>
              <w:rPr>
                <w:sz w:val="17"/>
                <w:szCs w:val="17"/>
                <w:color w:val="auto"/>
              </w:rPr>
            </w:pPr>
          </w:p>
        </w:tc>
        <w:tc>
          <w:tcPr>
            <w:tcW w:w="1300" w:type="dxa"/>
            <w:vAlign w:val="bottom"/>
          </w:tcPr>
          <w:p>
            <w:pPr>
              <w:jc w:val="center"/>
              <w:spacing w:after="0" w:line="199" w:lineRule="exact"/>
              <w:rPr>
                <w:sz w:val="20"/>
                <w:szCs w:val="20"/>
                <w:color w:val="auto"/>
              </w:rPr>
            </w:pPr>
            <w:r>
              <w:rPr>
                <w:rFonts w:ascii="Arial" w:cs="Arial" w:eastAsia="Arial" w:hAnsi="Arial"/>
                <w:sz w:val="18"/>
                <w:szCs w:val="18"/>
                <w:color w:val="auto"/>
                <w:w w:val="90"/>
              </w:rPr>
              <w:t>Title of each class</w:t>
            </w:r>
          </w:p>
        </w:tc>
        <w:tc>
          <w:tcPr>
            <w:tcW w:w="1440" w:type="dxa"/>
            <w:vAlign w:val="bottom"/>
          </w:tcPr>
          <w:p>
            <w:pPr>
              <w:spacing w:after="0"/>
              <w:rPr>
                <w:sz w:val="17"/>
                <w:szCs w:val="17"/>
                <w:color w:val="auto"/>
              </w:rPr>
            </w:pPr>
          </w:p>
        </w:tc>
        <w:tc>
          <w:tcPr>
            <w:tcW w:w="3560" w:type="dxa"/>
            <w:vAlign w:val="bottom"/>
            <w:gridSpan w:val="3"/>
          </w:tcPr>
          <w:p>
            <w:pPr>
              <w:jc w:val="center"/>
              <w:ind w:right="580"/>
              <w:spacing w:after="0" w:line="199" w:lineRule="exact"/>
              <w:rPr>
                <w:sz w:val="20"/>
                <w:szCs w:val="20"/>
                <w:color w:val="auto"/>
              </w:rPr>
            </w:pPr>
            <w:r>
              <w:rPr>
                <w:rFonts w:ascii="Arial" w:cs="Arial" w:eastAsia="Arial" w:hAnsi="Arial"/>
                <w:sz w:val="18"/>
                <w:szCs w:val="18"/>
                <w:color w:val="auto"/>
                <w:w w:val="92"/>
              </w:rPr>
              <w:t>Trading symbol</w:t>
            </w:r>
          </w:p>
        </w:tc>
        <w:tc>
          <w:tcPr>
            <w:tcW w:w="3180" w:type="dxa"/>
            <w:vAlign w:val="bottom"/>
          </w:tcPr>
          <w:p>
            <w:pPr>
              <w:jc w:val="center"/>
              <w:spacing w:after="0" w:line="199" w:lineRule="exact"/>
              <w:rPr>
                <w:sz w:val="20"/>
                <w:szCs w:val="20"/>
                <w:color w:val="auto"/>
              </w:rPr>
            </w:pPr>
            <w:r>
              <w:rPr>
                <w:rFonts w:ascii="Arial" w:cs="Arial" w:eastAsia="Arial" w:hAnsi="Arial"/>
                <w:sz w:val="18"/>
                <w:szCs w:val="18"/>
                <w:color w:val="auto"/>
                <w:w w:val="89"/>
              </w:rPr>
              <w:t>Name of each exchange on which registered</w:t>
            </w:r>
          </w:p>
        </w:tc>
      </w:tr>
      <w:tr>
        <w:trPr>
          <w:trHeight w:val="20"/>
        </w:trPr>
        <w:tc>
          <w:tcPr>
            <w:tcW w:w="52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r>
      <w:tr>
        <w:trPr>
          <w:trHeight w:val="290"/>
        </w:trPr>
        <w:tc>
          <w:tcPr>
            <w:tcW w:w="3260" w:type="dxa"/>
            <w:vAlign w:val="bottom"/>
            <w:gridSpan w:val="3"/>
          </w:tcPr>
          <w:p>
            <w:pPr>
              <w:jc w:val="center"/>
              <w:ind w:right="920"/>
              <w:spacing w:after="0"/>
              <w:rPr>
                <w:sz w:val="20"/>
                <w:szCs w:val="20"/>
                <w:color w:val="auto"/>
              </w:rPr>
            </w:pPr>
            <w:r>
              <w:rPr>
                <w:rFonts w:ascii="Arial" w:cs="Arial" w:eastAsia="Arial" w:hAnsi="Arial"/>
                <w:sz w:val="18"/>
                <w:szCs w:val="18"/>
                <w:b w:val="1"/>
                <w:bCs w:val="1"/>
                <w:color w:val="auto"/>
                <w:w w:val="90"/>
              </w:rPr>
              <w:t>Common stock, par value $.01</w:t>
            </w:r>
          </w:p>
        </w:tc>
        <w:tc>
          <w:tcPr>
            <w:tcW w:w="920" w:type="dxa"/>
            <w:vAlign w:val="bottom"/>
          </w:tcPr>
          <w:p>
            <w:pPr>
              <w:spacing w:after="0"/>
              <w:rPr>
                <w:sz w:val="24"/>
                <w:szCs w:val="24"/>
                <w:color w:val="auto"/>
              </w:rPr>
            </w:pPr>
          </w:p>
        </w:tc>
        <w:tc>
          <w:tcPr>
            <w:tcW w:w="2640" w:type="dxa"/>
            <w:vAlign w:val="bottom"/>
            <w:gridSpan w:val="2"/>
          </w:tcPr>
          <w:p>
            <w:pPr>
              <w:jc w:val="center"/>
              <w:ind w:right="1520"/>
              <w:spacing w:after="0"/>
              <w:rPr>
                <w:sz w:val="20"/>
                <w:szCs w:val="20"/>
                <w:color w:val="auto"/>
              </w:rPr>
            </w:pPr>
            <w:r>
              <w:rPr>
                <w:rFonts w:ascii="Arial" w:cs="Arial" w:eastAsia="Arial" w:hAnsi="Arial"/>
                <w:sz w:val="18"/>
                <w:szCs w:val="18"/>
                <w:b w:val="1"/>
                <w:bCs w:val="1"/>
                <w:color w:val="auto"/>
                <w:w w:val="95"/>
              </w:rPr>
              <w:t>ROST</w:t>
            </w:r>
          </w:p>
        </w:tc>
        <w:tc>
          <w:tcPr>
            <w:tcW w:w="3180" w:type="dxa"/>
            <w:vAlign w:val="bottom"/>
          </w:tcPr>
          <w:p>
            <w:pPr>
              <w:jc w:val="center"/>
              <w:spacing w:after="0"/>
              <w:rPr>
                <w:sz w:val="20"/>
                <w:szCs w:val="20"/>
                <w:color w:val="auto"/>
              </w:rPr>
            </w:pPr>
            <w:r>
              <w:rPr>
                <w:rFonts w:ascii="Arial" w:cs="Arial" w:eastAsia="Arial" w:hAnsi="Arial"/>
                <w:sz w:val="18"/>
                <w:szCs w:val="18"/>
                <w:b w:val="1"/>
                <w:bCs w:val="1"/>
                <w:color w:val="auto"/>
                <w:w w:val="91"/>
              </w:rPr>
              <w:t>Nasdaq Global Select Market</w:t>
            </w:r>
          </w:p>
        </w:tc>
      </w:tr>
    </w:tbl>
    <w:p>
      <w:pPr>
        <w:spacing w:after="0" w:line="364" w:lineRule="exact"/>
        <w:rPr>
          <w:sz w:val="24"/>
          <w:szCs w:val="24"/>
          <w:color w:val="auto"/>
        </w:rPr>
      </w:pPr>
    </w:p>
    <w:p>
      <w:pPr>
        <w:jc w:val="both"/>
        <w:ind w:right="3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85"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080"/>
          </w:cols>
          <w:pgMar w:left="320" w:top="1440" w:right="49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p>
      <w:pPr>
        <w:jc w:val="center"/>
        <w:ind w:right="-159"/>
        <w:spacing w:after="0"/>
        <w:rPr>
          <w:sz w:val="20"/>
          <w:szCs w:val="20"/>
          <w:color w:val="auto"/>
        </w:rPr>
      </w:pPr>
      <w:r>
        <w:rPr>
          <w:rFonts w:ascii="Arial" w:cs="Arial" w:eastAsia="Arial" w:hAnsi="Arial"/>
          <w:sz w:val="13"/>
          <w:szCs w:val="13"/>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1440" w:right="49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August 20, 2020, the Company issued a press release regarding the Company’s financial results for its fiscal quarter ended August 1, 2020. The full text of the Company’s press release is attached hereto as Exhibit 99.1.</w:t>
      </w:r>
    </w:p>
    <w:p>
      <w:pPr>
        <w:spacing w:after="0" w:line="197"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The information furnished with this Item 2.02, including Exhibit 99.1, shall not be deemed "filed" for purposes of Section 18 of the Securities Exchange Act of 1934, as amended (the "Exchange Act"), nor shall it be deemed incorporated by reference into any filing under the Securities Act of 1933, as amended, or the Exchange Act, except as expressly set forth by specific reference in such a filing.</w:t>
      </w:r>
    </w:p>
    <w:p>
      <w:pPr>
        <w:spacing w:after="0" w:line="207" w:lineRule="exact"/>
        <w:rPr>
          <w:sz w:val="20"/>
          <w:szCs w:val="20"/>
          <w:color w:val="auto"/>
        </w:rPr>
      </w:pPr>
    </w:p>
    <w:p>
      <w:pPr>
        <w:ind w:right="280"/>
        <w:spacing w:after="0" w:line="266"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93" w:lineRule="exact"/>
        <w:rPr>
          <w:sz w:val="20"/>
          <w:szCs w:val="20"/>
          <w:color w:val="auto"/>
        </w:rPr>
      </w:pPr>
    </w:p>
    <w:p>
      <w:pPr>
        <w:ind w:firstLine="8"/>
        <w:spacing w:after="0" w:line="269" w:lineRule="auto"/>
        <w:tabs>
          <w:tab w:leader="none" w:pos="244" w:val="left"/>
        </w:tabs>
        <w:numPr>
          <w:ilvl w:val="0"/>
          <w:numId w:val="2"/>
        </w:numPr>
        <w:rPr>
          <w:rFonts w:ascii="Arial" w:cs="Arial" w:eastAsia="Arial" w:hAnsi="Arial"/>
          <w:sz w:val="16"/>
          <w:szCs w:val="16"/>
          <w:color w:val="auto"/>
        </w:rPr>
      </w:pPr>
      <w:r>
        <w:rPr>
          <w:rFonts w:ascii="Arial" w:cs="Arial" w:eastAsia="Arial" w:hAnsi="Arial"/>
          <w:sz w:val="16"/>
          <w:szCs w:val="16"/>
          <w:color w:val="auto"/>
        </w:rPr>
        <w:t>On August 19, 2020, the Compensation Committee of the Board of Directors of Ross Stores, Inc. (the “Committee”) approved modifications to the Company’s management incentive plan and performance share award program for fiscal 2020 (“2020 Incentive Programs”), and adopted key business priorities that will be considered by the Committee as alternative performance criteria in determining the bonus and performance share payout levels at the end of the fiscal year, which will be subject to reduced maximum payout limits. The modifications were made due to the ongoing uncertainties relating to the COVID-19 pandemic, the inability to effectively establish new quantitative or formulaic goals for the year, and to appropriately recognize the necessary shifts in management priorities. The Company views these changes as temporary, yet necessary to adequately reward performance and retain talent. The added performance criteria for the 2020 Incentive Programs focus on key business priorities for fiscal 2020 related to the Company’s overall management of challenges from the pandemic, including: the safety and health of associates and customers; liquidity and expense management; effective ongoing business operations; and positioning of the Company for long-term success when more normal business conditions resume. For executive officers of the Company, the total target values of fiscal 2020 Incentive Program compensation opportunities have not changed as result of the modifications. The payout levels for the 2020 Incentive Programs will be determined by the Committee based on its assessment of the Company’s achievement of the key business priorities and overall management of the COVID-19 response.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52" w:lineRule="exact"/>
        <w:rPr>
          <w:sz w:val="20"/>
          <w:szCs w:val="20"/>
          <w:color w:val="auto"/>
        </w:rPr>
      </w:pPr>
    </w:p>
    <w:p>
      <w:pPr>
        <w:ind w:left="1100" w:hanging="444"/>
        <w:spacing w:after="0"/>
        <w:tabs>
          <w:tab w:leader="none" w:pos="110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310" w:lineRule="exact"/>
        <w:rPr>
          <w:sz w:val="20"/>
          <w:szCs w:val="20"/>
          <w:color w:val="auto"/>
        </w:rPr>
      </w:pPr>
    </w:p>
    <w:p>
      <w:pPr>
        <w:ind w:left="220"/>
        <w:spacing w:after="0"/>
        <w:tabs>
          <w:tab w:leader="none" w:pos="1060" w:val="left"/>
        </w:tabs>
        <w:rPr>
          <w:sz w:val="20"/>
          <w:szCs w:val="20"/>
          <w:color w:val="auto"/>
        </w:rPr>
      </w:pPr>
      <w:r>
        <w:rPr>
          <w:rFonts w:ascii="Arial" w:cs="Arial" w:eastAsia="Arial" w:hAnsi="Arial"/>
          <w:sz w:val="18"/>
          <w:szCs w:val="18"/>
          <w:u w:val="single" w:color="auto"/>
          <w:color w:val="auto"/>
        </w:rPr>
        <w:t>Exhibit</w:t>
      </w:r>
      <w:r>
        <w:rPr>
          <w:sz w:val="20"/>
          <w:szCs w:val="20"/>
          <w:color w:val="auto"/>
        </w:rPr>
        <w:tab/>
      </w:r>
      <w:r>
        <w:rPr>
          <w:rFonts w:ascii="Arial" w:cs="Arial" w:eastAsia="Arial" w:hAnsi="Arial"/>
          <w:sz w:val="18"/>
          <w:szCs w:val="18"/>
          <w:u w:val="single" w:color="auto"/>
          <w:color w:val="auto"/>
        </w:rPr>
        <w:t>Description</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8"/>
          <w:szCs w:val="18"/>
          <w:u w:val="single" w:color="auto"/>
          <w:color w:val="auto"/>
        </w:rPr>
        <w:t>No.</w:t>
      </w:r>
    </w:p>
    <w:p>
      <w:pPr>
        <w:spacing w:after="0" w:line="49" w:lineRule="exact"/>
        <w:rPr>
          <w:sz w:val="20"/>
          <w:szCs w:val="20"/>
          <w:color w:val="auto"/>
        </w:rPr>
      </w:pPr>
    </w:p>
    <w:p>
      <w:pPr>
        <w:ind w:left="220"/>
        <w:spacing w:after="0"/>
        <w:tabs>
          <w:tab w:leader="none" w:pos="1060" w:val="left"/>
        </w:tabs>
        <w:rPr>
          <w:rFonts w:ascii="Arial" w:cs="Arial" w:eastAsia="Arial" w:hAnsi="Arial"/>
          <w:sz w:val="15"/>
          <w:szCs w:val="15"/>
          <w:u w:val="single" w:color="auto"/>
          <w:color w:val="0000FF"/>
        </w:rPr>
      </w:pPr>
      <w:r>
        <w:rPr>
          <w:rFonts w:ascii="Arial" w:cs="Arial" w:eastAsia="Arial" w:hAnsi="Arial"/>
          <w:sz w:val="18"/>
          <w:szCs w:val="18"/>
          <w:color w:val="auto"/>
        </w:rPr>
        <w:t>99.1</w:t>
      </w:r>
      <w:r>
        <w:rPr>
          <w:sz w:val="20"/>
          <w:szCs w:val="20"/>
          <w:color w:val="auto"/>
        </w:rPr>
        <w:tab/>
      </w:r>
      <w:hyperlink w:anchor="page3">
        <w:r>
          <w:rPr>
            <w:rFonts w:ascii="Arial" w:cs="Arial" w:eastAsia="Arial" w:hAnsi="Arial"/>
            <w:sz w:val="15"/>
            <w:szCs w:val="15"/>
            <w:u w:val="single" w:color="auto"/>
            <w:color w:val="0000FF"/>
          </w:rPr>
          <w:t>August 20, 2020 Press Release by Ross Stores, Inc.</w:t>
        </w:r>
      </w:hyperlink>
    </w:p>
    <w:p>
      <w:pPr>
        <w:spacing w:after="0" w:line="63" w:lineRule="exact"/>
        <w:rPr>
          <w:sz w:val="20"/>
          <w:szCs w:val="20"/>
          <w:color w:val="auto"/>
        </w:rPr>
      </w:pPr>
    </w:p>
    <w:p>
      <w:pPr>
        <w:ind w:left="1080" w:right="260" w:hanging="865"/>
        <w:spacing w:after="0" w:line="277"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Cover Page Interactive Data File. (The cover page interactive data file does not appear in the Interactive Data File because its XBRL tags are embedded within the Inline XBRL document.)</w:t>
      </w:r>
    </w:p>
    <w:p>
      <w:pPr>
        <w:spacing w:after="0" w:line="32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August 20, 2020</w:t>
      </w:r>
    </w:p>
    <w:p>
      <w:pPr>
        <w:spacing w:after="0" w:line="302"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ROSS STORES, INC</w:t>
      </w:r>
    </w:p>
    <w:p>
      <w:pPr>
        <w:spacing w:after="0" w:line="67"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Registrant</w:t>
      </w:r>
    </w:p>
    <w:p>
      <w:pPr>
        <w:spacing w:after="0" w:line="320"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/s/Travis R. Marquette</w:t>
      </w:r>
    </w:p>
    <w:p>
      <w:pPr>
        <w:spacing w:after="0" w:line="36"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Travis R. Marquette</w:t>
      </w:r>
    </w:p>
    <w:p>
      <w:pPr>
        <w:spacing w:after="0" w:line="63"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Group Senior Vice President and Chief Financial</w:t>
      </w:r>
    </w:p>
    <w:p>
      <w:pPr>
        <w:spacing w:after="0" w:line="63"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Officer, and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20"/>
          </w:cols>
          <w:pgMar w:left="320" w:top="931" w:right="35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t>Exhibit 99.1</w:t>
      </w:r>
    </w:p>
    <w:p>
      <w:pPr>
        <w:spacing w:after="0" w:line="27" w:lineRule="exact"/>
        <w:rPr>
          <w:sz w:val="20"/>
          <w:szCs w:val="20"/>
          <w:color w:val="auto"/>
        </w:rPr>
      </w:pPr>
    </w:p>
    <w:p>
      <w:pPr>
        <w:spacing w:after="0"/>
        <w:rPr>
          <w:sz w:val="20"/>
          <w:szCs w:val="20"/>
          <w:color w:val="auto"/>
        </w:rPr>
      </w:pPr>
      <w:r>
        <w:rPr>
          <w:sz w:val="1"/>
          <w:szCs w:val="1"/>
          <w:color w:val="auto"/>
        </w:rPr>
        <w:drawing>
          <wp:inline distT="0" distB="0" distL="0" distR="0">
            <wp:extent cx="1817370" cy="54864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17370" cy="548640"/>
                    </a:xfrm>
                    <a:prstGeom prst="rect">
                      <a:avLst/>
                    </a:prstGeom>
                    <a:noFill/>
                    <a:ln>
                      <a:noFill/>
                    </a:ln>
                  </pic:spPr>
                </pic:pic>
              </a:graphicData>
            </a:graphic>
          </wp:inline>
        </w:drawing>
      </w:r>
      <w:r>
        <w:rPr>
          <w:rFonts w:ascii="Arial" w:cs="Arial" w:eastAsia="Arial" w:hAnsi="Arial"/>
          <w:sz w:val="18"/>
          <w:szCs w:val="18"/>
          <w:color w:val="auto"/>
        </w:rPr>
        <w:t>__________________________________________________________________</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FOR IMMEDIATE RELEASE</w:t>
      </w:r>
    </w:p>
    <w:p>
      <w:pPr>
        <w:sectPr>
          <w:pgSz w:w="11900" w:h="16838" w:orient="portrait"/>
          <w:cols w:equalWidth="0" w:num="1">
            <w:col w:w="11240"/>
          </w:cols>
          <w:pgMar w:left="320" w:top="931" w:right="339" w:bottom="1440" w:gutter="0" w:footer="0" w:header="0"/>
        </w:sectPr>
      </w:pPr>
    </w:p>
    <w:p>
      <w:pPr>
        <w:spacing w:after="0" w:line="283"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1380" w:type="dxa"/>
            <w:vAlign w:val="bottom"/>
            <w:gridSpan w:val="2"/>
          </w:tcPr>
          <w:p>
            <w:pPr>
              <w:spacing w:after="0"/>
              <w:rPr>
                <w:sz w:val="20"/>
                <w:szCs w:val="20"/>
                <w:color w:val="auto"/>
              </w:rPr>
            </w:pPr>
            <w:r>
              <w:rPr>
                <w:rFonts w:ascii="Arial" w:cs="Arial" w:eastAsia="Arial" w:hAnsi="Arial"/>
                <w:sz w:val="20"/>
                <w:szCs w:val="20"/>
                <w:b w:val="1"/>
                <w:bCs w:val="1"/>
                <w:color w:val="auto"/>
              </w:rPr>
              <w:t>Contact:</w:t>
            </w:r>
          </w:p>
        </w:tc>
        <w:tc>
          <w:tcPr>
            <w:tcW w:w="3120" w:type="dxa"/>
            <w:vAlign w:val="bottom"/>
          </w:tcPr>
          <w:p>
            <w:pPr>
              <w:ind w:left="560"/>
              <w:spacing w:after="0"/>
              <w:rPr>
                <w:sz w:val="20"/>
                <w:szCs w:val="20"/>
                <w:color w:val="auto"/>
              </w:rPr>
            </w:pPr>
            <w:r>
              <w:rPr>
                <w:rFonts w:ascii="Arial" w:cs="Arial" w:eastAsia="Arial" w:hAnsi="Arial"/>
                <w:sz w:val="20"/>
                <w:szCs w:val="20"/>
                <w:color w:val="auto"/>
              </w:rPr>
              <w:t>Travis Marquette</w:t>
            </w:r>
          </w:p>
        </w:tc>
      </w:tr>
      <w:tr>
        <w:trPr>
          <w:trHeight w:val="295"/>
        </w:trPr>
        <w:tc>
          <w:tcPr>
            <w:tcW w:w="800" w:type="dxa"/>
            <w:vAlign w:val="bottom"/>
            <w:tcBorders>
              <w:top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3120" w:type="dxa"/>
            <w:vAlign w:val="bottom"/>
          </w:tcPr>
          <w:p>
            <w:pPr>
              <w:ind w:left="560"/>
              <w:spacing w:after="0"/>
              <w:rPr>
                <w:sz w:val="20"/>
                <w:szCs w:val="20"/>
                <w:color w:val="auto"/>
              </w:rPr>
            </w:pPr>
            <w:r>
              <w:rPr>
                <w:rFonts w:ascii="Arial" w:cs="Arial" w:eastAsia="Arial" w:hAnsi="Arial"/>
                <w:sz w:val="20"/>
                <w:szCs w:val="20"/>
                <w:color w:val="auto"/>
                <w:w w:val="98"/>
              </w:rPr>
              <w:t>Group Senior Vice President,</w:t>
            </w:r>
          </w:p>
        </w:tc>
      </w:tr>
      <w:tr>
        <w:trPr>
          <w:trHeight w:val="270"/>
        </w:trPr>
        <w:tc>
          <w:tcPr>
            <w:tcW w:w="8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120" w:type="dxa"/>
            <w:vAlign w:val="bottom"/>
          </w:tcPr>
          <w:p>
            <w:pPr>
              <w:ind w:left="560"/>
              <w:spacing w:after="0"/>
              <w:rPr>
                <w:sz w:val="20"/>
                <w:szCs w:val="20"/>
                <w:color w:val="auto"/>
              </w:rPr>
            </w:pPr>
            <w:r>
              <w:rPr>
                <w:rFonts w:ascii="Arial" w:cs="Arial" w:eastAsia="Arial" w:hAnsi="Arial"/>
                <w:sz w:val="20"/>
                <w:szCs w:val="20"/>
                <w:color w:val="auto"/>
              </w:rPr>
              <w:t>Chief Financial Officer</w:t>
            </w:r>
          </w:p>
        </w:tc>
      </w:tr>
      <w:tr>
        <w:trPr>
          <w:trHeight w:val="270"/>
        </w:trPr>
        <w:tc>
          <w:tcPr>
            <w:tcW w:w="8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120" w:type="dxa"/>
            <w:vAlign w:val="bottom"/>
          </w:tcPr>
          <w:p>
            <w:pPr>
              <w:ind w:left="560"/>
              <w:spacing w:after="0"/>
              <w:rPr>
                <w:sz w:val="20"/>
                <w:szCs w:val="20"/>
                <w:color w:val="auto"/>
              </w:rPr>
            </w:pPr>
            <w:r>
              <w:rPr>
                <w:rFonts w:ascii="Arial" w:cs="Arial" w:eastAsia="Arial" w:hAnsi="Arial"/>
                <w:sz w:val="20"/>
                <w:szCs w:val="20"/>
                <w:color w:val="auto"/>
              </w:rPr>
              <w:t>(925) 965-4550</w:t>
            </w:r>
          </w:p>
        </w:tc>
      </w:tr>
    </w:tbl>
    <w:p>
      <w:pPr>
        <w:spacing w:after="0" w:line="20" w:lineRule="exact"/>
        <w:rPr>
          <w:sz w:val="20"/>
          <w:szCs w:val="20"/>
          <w:color w:val="auto"/>
        </w:rPr>
      </w:pPr>
      <w:r>
        <w:rPr>
          <w:sz w:val="20"/>
          <w:szCs w:val="20"/>
          <w:color w:val="auto"/>
        </w:rPr>
        <w:br w:type="column"/>
      </w:r>
    </w:p>
    <w:p>
      <w:pPr>
        <w:spacing w:after="0" w:line="301" w:lineRule="exact"/>
        <w:rPr>
          <w:sz w:val="20"/>
          <w:szCs w:val="20"/>
          <w:color w:val="auto"/>
        </w:rPr>
      </w:pPr>
    </w:p>
    <w:p>
      <w:pPr>
        <w:ind w:left="8"/>
        <w:spacing w:after="0"/>
        <w:rPr>
          <w:sz w:val="20"/>
          <w:szCs w:val="20"/>
          <w:color w:val="auto"/>
        </w:rPr>
      </w:pPr>
      <w:r>
        <w:rPr>
          <w:rFonts w:ascii="Arial" w:cs="Arial" w:eastAsia="Arial" w:hAnsi="Arial"/>
          <w:sz w:val="20"/>
          <w:szCs w:val="20"/>
          <w:color w:val="auto"/>
        </w:rPr>
        <w:t>Connie Kao</w:t>
      </w:r>
    </w:p>
    <w:p>
      <w:pPr>
        <w:spacing w:after="0" w:line="40" w:lineRule="exact"/>
        <w:rPr>
          <w:sz w:val="20"/>
          <w:szCs w:val="20"/>
          <w:color w:val="auto"/>
        </w:rPr>
      </w:pPr>
    </w:p>
    <w:p>
      <w:pPr>
        <w:ind w:left="8"/>
        <w:spacing w:after="0"/>
        <w:rPr>
          <w:sz w:val="20"/>
          <w:szCs w:val="20"/>
          <w:color w:val="auto"/>
        </w:rPr>
      </w:pPr>
      <w:r>
        <w:rPr>
          <w:rFonts w:ascii="Arial" w:cs="Arial" w:eastAsia="Arial" w:hAnsi="Arial"/>
          <w:sz w:val="19"/>
          <w:szCs w:val="19"/>
          <w:color w:val="auto"/>
        </w:rPr>
        <w:t>Vice President, Investor Relations</w:t>
      </w:r>
    </w:p>
    <w:p>
      <w:pPr>
        <w:spacing w:after="0" w:line="52" w:lineRule="exact"/>
        <w:rPr>
          <w:sz w:val="20"/>
          <w:szCs w:val="20"/>
          <w:color w:val="auto"/>
        </w:rPr>
      </w:pPr>
    </w:p>
    <w:p>
      <w:pPr>
        <w:ind w:left="508" w:hanging="508"/>
        <w:spacing w:after="0"/>
        <w:tabs>
          <w:tab w:leader="none" w:pos="508" w:val="left"/>
        </w:tabs>
        <w:numPr>
          <w:ilvl w:val="0"/>
          <w:numId w:val="5"/>
        </w:numPr>
        <w:rPr>
          <w:rFonts w:ascii="Arial" w:cs="Arial" w:eastAsia="Arial" w:hAnsi="Arial"/>
          <w:sz w:val="20"/>
          <w:szCs w:val="20"/>
          <w:color w:val="auto"/>
        </w:rPr>
      </w:pPr>
      <w:r>
        <w:rPr>
          <w:rFonts w:ascii="Arial" w:cs="Arial" w:eastAsia="Arial" w:hAnsi="Arial"/>
          <w:sz w:val="20"/>
          <w:szCs w:val="20"/>
          <w:color w:val="auto"/>
        </w:rPr>
        <w:t>965-4668</w:t>
      </w:r>
    </w:p>
    <w:p>
      <w:pPr>
        <w:spacing w:after="0" w:line="40" w:lineRule="exact"/>
        <w:rPr>
          <w:rFonts w:ascii="Arial" w:cs="Arial" w:eastAsia="Arial" w:hAnsi="Arial"/>
          <w:sz w:val="20"/>
          <w:szCs w:val="20"/>
          <w:color w:val="auto"/>
        </w:rPr>
      </w:pPr>
    </w:p>
    <w:p>
      <w:pPr>
        <w:ind w:left="8"/>
        <w:spacing w:after="0"/>
        <w:rPr>
          <w:rFonts w:ascii="Arial" w:cs="Arial" w:eastAsia="Arial" w:hAnsi="Arial"/>
          <w:sz w:val="20"/>
          <w:szCs w:val="20"/>
          <w:color w:val="auto"/>
        </w:rPr>
      </w:pPr>
      <w:r>
        <w:rPr>
          <w:rFonts w:ascii="Arial" w:cs="Arial" w:eastAsia="Arial" w:hAnsi="Arial"/>
          <w:sz w:val="20"/>
          <w:szCs w:val="20"/>
          <w:color w:val="auto"/>
        </w:rPr>
        <w:t>connie.kao@ros.com</w:t>
      </w:r>
    </w:p>
    <w:p>
      <w:pPr>
        <w:spacing w:after="0" w:line="207" w:lineRule="exact"/>
        <w:rPr>
          <w:sz w:val="20"/>
          <w:szCs w:val="20"/>
          <w:color w:val="auto"/>
        </w:rPr>
      </w:pPr>
    </w:p>
    <w:p>
      <w:pPr>
        <w:sectPr>
          <w:pgSz w:w="11900" w:h="16838" w:orient="portrait"/>
          <w:cols w:equalWidth="0" w:num="2">
            <w:col w:w="5732" w:space="720"/>
            <w:col w:w="4788"/>
          </w:cols>
          <w:pgMar w:left="320" w:top="931" w:right="339" w:bottom="1440" w:gutter="0" w:footer="0" w:header="0"/>
          <w:type w:val="continuous"/>
        </w:sect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ROSS STORES REPORTS SECOND QUARTER RESULTS</w:t>
      </w:r>
    </w:p>
    <w:p>
      <w:pPr>
        <w:spacing w:after="0" w:line="200" w:lineRule="exact"/>
        <w:rPr>
          <w:sz w:val="20"/>
          <w:szCs w:val="20"/>
          <w:color w:val="auto"/>
        </w:rPr>
      </w:pPr>
    </w:p>
    <w:p>
      <w:pPr>
        <w:spacing w:after="0" w:line="313"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20"/>
          <w:szCs w:val="20"/>
          <w:b w:val="1"/>
          <w:bCs w:val="1"/>
          <w:color w:val="auto"/>
        </w:rPr>
        <w:t xml:space="preserve">Dublin, California, August 20, 2020 </w:t>
      </w:r>
      <w:r>
        <w:rPr>
          <w:rFonts w:ascii="Arial" w:cs="Arial" w:eastAsia="Arial" w:hAnsi="Arial"/>
          <w:sz w:val="20"/>
          <w:szCs w:val="20"/>
          <w:color w:val="auto"/>
        </w:rPr>
        <w:t>-- Ross Stores, Inc. (NASDAQ: ROST) today reported its 2020 second quarter and</w:t>
      </w:r>
      <w:r>
        <w:rPr>
          <w:rFonts w:ascii="Arial" w:cs="Arial" w:eastAsia="Arial" w:hAnsi="Arial"/>
          <w:sz w:val="20"/>
          <w:szCs w:val="20"/>
          <w:b w:val="1"/>
          <w:bCs w:val="1"/>
          <w:color w:val="auto"/>
        </w:rPr>
        <w:t xml:space="preserve"> </w:t>
      </w:r>
      <w:r>
        <w:rPr>
          <w:rFonts w:ascii="Arial" w:cs="Arial" w:eastAsia="Arial" w:hAnsi="Arial"/>
          <w:sz w:val="20"/>
          <w:szCs w:val="20"/>
          <w:color w:val="auto"/>
        </w:rPr>
        <w:t>first half financial results. Both sales and earnings for these periods reflect the COVID-19 related closures of all Ross Dress for Less</w:t>
      </w:r>
      <w:r>
        <w:rPr>
          <w:rFonts w:ascii="Arial" w:cs="Arial" w:eastAsia="Arial" w:hAnsi="Arial"/>
          <w:sz w:val="25"/>
          <w:szCs w:val="25"/>
          <w:color w:val="auto"/>
          <w:vertAlign w:val="superscript"/>
        </w:rPr>
        <w:t>®</w:t>
      </w:r>
      <w:r>
        <w:rPr>
          <w:rFonts w:ascii="Arial" w:cs="Arial" w:eastAsia="Arial" w:hAnsi="Arial"/>
          <w:sz w:val="20"/>
          <w:szCs w:val="20"/>
          <w:color w:val="auto"/>
        </w:rPr>
        <w:t xml:space="preserve"> and dd’s DISCOUNTS</w:t>
      </w:r>
      <w:r>
        <w:rPr>
          <w:rFonts w:ascii="Arial" w:cs="Arial" w:eastAsia="Arial" w:hAnsi="Arial"/>
          <w:sz w:val="25"/>
          <w:szCs w:val="25"/>
          <w:color w:val="auto"/>
          <w:vertAlign w:val="superscript"/>
        </w:rPr>
        <w:t>®</w:t>
      </w:r>
      <w:r>
        <w:rPr>
          <w:rFonts w:ascii="Arial" w:cs="Arial" w:eastAsia="Arial" w:hAnsi="Arial"/>
          <w:sz w:val="20"/>
          <w:szCs w:val="20"/>
          <w:color w:val="auto"/>
        </w:rPr>
        <w:t xml:space="preserve"> locations that began on March 20</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and continued through a portion of the second quarter. The Company began a phased process of reopening its stores on May 14</w:t>
      </w:r>
      <w:r>
        <w:rPr>
          <w:rFonts w:ascii="Arial" w:cs="Arial" w:eastAsia="Arial" w:hAnsi="Arial"/>
          <w:sz w:val="25"/>
          <w:szCs w:val="25"/>
          <w:color w:val="auto"/>
          <w:vertAlign w:val="superscript"/>
        </w:rPr>
        <w:t>th</w:t>
      </w:r>
      <w:r>
        <w:rPr>
          <w:rFonts w:ascii="Arial" w:cs="Arial" w:eastAsia="Arial" w:hAnsi="Arial"/>
          <w:sz w:val="20"/>
          <w:szCs w:val="20"/>
          <w:color w:val="auto"/>
        </w:rPr>
        <w:t>, with the vast majority of its retail locations open and operating by the end of June.</w:t>
      </w:r>
    </w:p>
    <w:p>
      <w:pPr>
        <w:spacing w:after="0" w:line="250"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20"/>
          <w:szCs w:val="20"/>
          <w:color w:val="auto"/>
        </w:rPr>
        <w:t>For the 13 weeks ended August 1, 2020, the Company reported earnings per share of $0.06 on net income of $22.0 million. This compares to net income of $413 million or earnings per share of $1.14 last year. Total sales for the period were $2.7 billion, down from $4.0 billion in the second quarter of 2019. Comparable store sales were down 12% for reopened stores from the date of their reopening to the end of the fiscal quarter.</w:t>
      </w:r>
    </w:p>
    <w:p>
      <w:pPr>
        <w:spacing w:after="0" w:line="235" w:lineRule="exact"/>
        <w:rPr>
          <w:sz w:val="20"/>
          <w:szCs w:val="20"/>
          <w:color w:val="auto"/>
        </w:rPr>
      </w:pPr>
    </w:p>
    <w:p>
      <w:pPr>
        <w:jc w:val="both"/>
        <w:ind w:firstLine="648"/>
        <w:spacing w:after="0" w:line="317" w:lineRule="auto"/>
        <w:rPr>
          <w:sz w:val="20"/>
          <w:szCs w:val="20"/>
          <w:color w:val="auto"/>
        </w:rPr>
      </w:pPr>
      <w:r>
        <w:rPr>
          <w:rFonts w:ascii="Arial" w:cs="Arial" w:eastAsia="Arial" w:hAnsi="Arial"/>
          <w:sz w:val="20"/>
          <w:szCs w:val="20"/>
          <w:color w:val="auto"/>
        </w:rPr>
        <w:t>Second quarter 2020 results include a $174 million or $0.19 per share benefit related to the partial reversal of the inventory valuation reserve from the first quarter.</w:t>
      </w:r>
    </w:p>
    <w:p>
      <w:pPr>
        <w:spacing w:after="0" w:line="229"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20"/>
          <w:szCs w:val="20"/>
          <w:color w:val="auto"/>
        </w:rPr>
        <w:t>For the six months ended August 1, 2020, the Company reported a per share loss of $(0.81) versus earnings per share of $2.29 for the same period last year. The net loss for the first half of 2020 was $284 million compared to net income of $834 million in the prior year. Sales for the first six months of 2020 declined 42% to $4.5 billion.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 xml:space="preserve">ROSS STORES, INC. </w:t>
      </w:r>
      <w:r>
        <w:rPr>
          <w:rFonts w:ascii="Arial" w:cs="Arial" w:eastAsia="Arial" w:hAnsi="Arial"/>
          <w:sz w:val="16"/>
          <w:szCs w:val="16"/>
          <w:color w:val="auto"/>
        </w:rPr>
        <w:t>5130 Hacienda Drive, Dublin, CA 94568 (925) 965-4400</w:t>
      </w:r>
    </w:p>
    <w:p>
      <w:pPr>
        <w:sectPr>
          <w:pgSz w:w="11900" w:h="16838" w:orient="portrait"/>
          <w:cols w:equalWidth="0" w:num="1">
            <w:col w:w="11240"/>
          </w:cols>
          <w:pgMar w:left="320" w:top="931" w:right="339" w:bottom="1440" w:gutter="0" w:footer="0" w:header="0"/>
          <w:type w:val="continuous"/>
        </w:sectPr>
      </w:pPr>
    </w:p>
    <w:bookmarkStart w:id="3" w:name="page4"/>
    <w:bookmarkEnd w:id="3"/>
    <w:p>
      <w:pPr>
        <w:jc w:val="both"/>
        <w:ind w:firstLine="648"/>
        <w:spacing w:after="0" w:line="312" w:lineRule="auto"/>
        <w:rPr>
          <w:sz w:val="20"/>
          <w:szCs w:val="20"/>
          <w:color w:val="auto"/>
        </w:rPr>
      </w:pPr>
      <w:r>
        <w:rPr>
          <w:rFonts w:ascii="Arial" w:cs="Arial" w:eastAsia="Arial" w:hAnsi="Arial"/>
          <w:sz w:val="20"/>
          <w:szCs w:val="20"/>
          <w:color w:val="auto"/>
        </w:rPr>
        <w:t>Barbara Rentler, Chief Executive Officer, commented, “Comparable stores sales during the quarter were impacted by a number of factors. During the initial re-openings, sales were ahead of our conservative plans as we benefitted from pent-up demand and aggressive markdowns to clear aged inventory. In the weeks thereafter, trends were negatively impacted from depleted store inventory levels while we were ramping up our buying and distribution capabilities.”</w:t>
      </w:r>
    </w:p>
    <w:p>
      <w:pPr>
        <w:spacing w:after="0" w:line="23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20"/>
          <w:szCs w:val="20"/>
          <w:color w:val="auto"/>
        </w:rPr>
        <w:t>Ms. Rentler added, “Our operating margin for the period reflects the deleveraging effect from lower sales as our stores were only open on average for 75% of the quarter, and on the comparable store sales decline. Additional headwinds included COVID-19 related expenses and unfavorable timing of packaway-related costs. These items more than offset the benefit from the partial reversal of the inventory valuation charge taken last quarter as aged merchandise sold through much faster than we expected.”</w:t>
      </w:r>
    </w:p>
    <w:p>
      <w:pPr>
        <w:spacing w:after="0" w:line="238"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20"/>
          <w:szCs w:val="20"/>
          <w:color w:val="auto"/>
        </w:rPr>
        <w:t>Looking ahead, Ms. Rentler said, “As we move into the third quarter, trends have not materially changed from the second quarter with comparable store sales for the first two and a half weeks trending down mid-teens versus last year. There remains significant uncertainty on how the pandemic will continue to evolve and affect consumer demand and the economy, and the potential exists for additional government mandated shutdowns if COVID-19 cases remain elevated or further increase. Given these risks, we will continue to plan and manage our business very cautiously. Due to the limited visibility we have on these risks, we are not providing sales or earnings guidance at this time.”</w:t>
      </w:r>
    </w:p>
    <w:p>
      <w:pPr>
        <w:spacing w:after="0" w:line="237"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20"/>
          <w:szCs w:val="20"/>
          <w:color w:val="auto"/>
        </w:rPr>
        <w:t xml:space="preserve">The Company will host a conference call on Thursday, August 20, 2020 at 4:15 p.m. Eastern time to provide additional details concerning its second quarter results. A real-time audio webcast of the conference call will be available in the Investors section of the Company’s website, located at </w:t>
      </w:r>
      <w:r>
        <w:rPr>
          <w:rFonts w:ascii="Arial" w:cs="Arial" w:eastAsia="Arial" w:hAnsi="Arial"/>
          <w:sz w:val="20"/>
          <w:szCs w:val="20"/>
          <w:u w:val="single" w:color="auto"/>
          <w:color w:val="0E32E1"/>
        </w:rPr>
        <w:t>www.rossstores.com</w:t>
      </w:r>
      <w:r>
        <w:rPr>
          <w:rFonts w:ascii="Arial" w:cs="Arial" w:eastAsia="Arial" w:hAnsi="Arial"/>
          <w:sz w:val="20"/>
          <w:szCs w:val="20"/>
          <w:color w:val="auto"/>
        </w:rPr>
        <w:t>. An audio playback will be available at 404-537-3406, PIN #1758324 until 8:00 p.m. Eastern time on August 27, 2020, as well as on the Company’s website.</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986" w:right="339" w:bottom="1440" w:gutter="0" w:footer="0" w:header="0"/>
        </w:sectPr>
      </w:pPr>
    </w:p>
    <w:bookmarkStart w:id="4" w:name="page5"/>
    <w:bookmarkEnd w:id="4"/>
    <w:p>
      <w:pPr>
        <w:jc w:val="both"/>
        <w:ind w:firstLine="648"/>
        <w:spacing w:after="0" w:line="231" w:lineRule="auto"/>
        <w:rPr>
          <w:sz w:val="20"/>
          <w:szCs w:val="20"/>
          <w:color w:val="auto"/>
        </w:rPr>
      </w:pPr>
      <w:r>
        <w:rPr>
          <w:rFonts w:ascii="Arial" w:cs="Arial" w:eastAsia="Arial" w:hAnsi="Arial"/>
          <w:sz w:val="18"/>
          <w:szCs w:val="18"/>
          <w:b w:val="1"/>
          <w:bCs w:val="1"/>
          <w:i w:val="1"/>
          <w:iCs w:val="1"/>
          <w:u w:val="single" w:color="auto"/>
          <w:color w:val="auto"/>
        </w:rPr>
        <w:t>Forward-Looking Statements:</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This press release contains forward-looking statements regarding new store growth, and other</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financial results in future periods that are subject to risks and uncertainties which could cause our actual results to differ materially from management’s current expectations. The words “plan,” “expect,” “target,” “anticipate,” “estimate,” “believe,” “forecast,” “projected,” “guidance,” “outlook,” “looking ahead,” and similar expressions identify forward-looking statements. Risk factors for Ross Dress for Less</w:t>
      </w:r>
      <w:r>
        <w:rPr>
          <w:rFonts w:ascii="Arial" w:cs="Arial" w:eastAsia="Arial" w:hAnsi="Arial"/>
          <w:sz w:val="23"/>
          <w:szCs w:val="23"/>
          <w:color w:val="auto"/>
          <w:vertAlign w:val="superscript"/>
        </w:rPr>
        <w:t>®</w:t>
      </w:r>
      <w:r>
        <w:rPr>
          <w:rFonts w:ascii="Arial" w:cs="Arial" w:eastAsia="Arial" w:hAnsi="Arial"/>
          <w:sz w:val="18"/>
          <w:szCs w:val="18"/>
          <w:i w:val="1"/>
          <w:iCs w:val="1"/>
          <w:color w:val="auto"/>
        </w:rPr>
        <w:t xml:space="preserve"> (“Ross”) and dd’s DISCOUNTS</w:t>
      </w:r>
      <w:r>
        <w:rPr>
          <w:rFonts w:ascii="Arial" w:cs="Arial" w:eastAsia="Arial" w:hAnsi="Arial"/>
          <w:sz w:val="23"/>
          <w:szCs w:val="23"/>
          <w:color w:val="auto"/>
          <w:vertAlign w:val="superscript"/>
        </w:rPr>
        <w:t>®</w:t>
      </w:r>
      <w:r>
        <w:rPr>
          <w:rFonts w:ascii="Arial" w:cs="Arial" w:eastAsia="Arial" w:hAnsi="Arial"/>
          <w:sz w:val="18"/>
          <w:szCs w:val="18"/>
          <w:i w:val="1"/>
          <w:iCs w:val="1"/>
          <w:color w:val="auto"/>
        </w:rPr>
        <w:t xml:space="preserve"> include without limitation, the uncertainties and potential for further significant business disruptions arising from the recent and ongoing COVID-19 pandemic, including potential distribution center and store closures and restrictions on customer access; changes in the level of consumer spending on or preferences for apparel and home-related merchandise; impacts from the macro-economic environment, financial and credit markets, geopolitical conditions, unemployment levels or public health issues (such as pandemics) that affect consumer confidence and consumer disposable income; our need to effectively manage our inventories, markdowns, and inventory shortage to achieve planned gross margin; competitive pressures in the apparel or home-related merchandise retailing industry; issues from selling and importing merchandise produced in other countries and from supply chain disruptions in other countries, including due to the COVID-19 closures; unseasonable weather that may affect shopping patterns and consumer demand for seasonal apparel and other merchandise, and may result in temporary store closures and disruptions in deliveries of merchandise to our stores; market availability, quantity, and quality of attractive brand name merchandise at desirable discounts and our buyers’ ability to purchase merchandise that enables us to offer customers a wide assortment of merchandise at competitive prices; potential information or data security breaches, including cyber-attacks on our transaction processing and computer information systems, which could result in theft or unauthorized disclosure of customer, credit card, employee, or other private and valuable information that we handle in the ordinary course of our business; potential disruptions in our supply chain or information systems; issues involving the quality, safety, or authenticity of products we sell, which could harm our reputation, result in lost sales, and/or increase our costs; an adverse outcome in various legal, regulatory, or tax matters; damage to our corporate reputation or brands; our need to continually attract, train, and retain associates to execute our off-price strategies; effectively advertise and market our business; changes in U.S. tax, tariff, or trade policy regarding apparel and home-related merchandise produced in other countries that could adversely affect our business; volatility in revenues and earnings; an additional pandemic, natural or man-made disaster in California or in another region where we have a concentration of stores, offices, or a distribution center; unexpected issues or costs from expanding in existing markets and entering new geographic markets; obtaining acceptable new store sites with favorable consumer demographics; and maintaining sufficient liquidity to support our continuing operations, new store openings and reopenings, and ongoing capital expenditure plans. Other risk factors are set forth in our SEC filings including without limitation, the Form 10-K for fiscal 2019, and fiscal 2020 Form 10-Q and 8-Ks on file with the SEC. The factors underlying our forecasts are dynamic and subject to change. As a result, our forecasts speak only as of the date they are given and do not necessarily reflect our outlook at any other point in time. We do not undertake to update or revise these forward-looking statements.</w:t>
      </w:r>
    </w:p>
    <w:p>
      <w:pPr>
        <w:spacing w:after="0" w:line="200" w:lineRule="exact"/>
        <w:rPr>
          <w:sz w:val="20"/>
          <w:szCs w:val="20"/>
          <w:color w:val="auto"/>
        </w:rPr>
      </w:pPr>
    </w:p>
    <w:p>
      <w:pPr>
        <w:spacing w:after="0" w:line="330"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20"/>
          <w:szCs w:val="20"/>
          <w:color w:val="auto"/>
        </w:rPr>
        <w:t>Ross Stores, Inc. is an S&amp;P 500, Fortune 500, and NASDAQ 100 (ROST) company headquartered in Dublin, California, with fiscal 2019 revenues of $16.0 billion. Currently, the Company operates Ross Dress for Less</w:t>
      </w:r>
      <w:r>
        <w:rPr>
          <w:rFonts w:ascii="Arial" w:cs="Arial" w:eastAsia="Arial" w:hAnsi="Arial"/>
          <w:sz w:val="25"/>
          <w:szCs w:val="25"/>
          <w:color w:val="auto"/>
          <w:vertAlign w:val="superscript"/>
        </w:rPr>
        <w:t>®</w:t>
      </w:r>
      <w:r>
        <w:rPr>
          <w:rFonts w:ascii="Arial" w:cs="Arial" w:eastAsia="Arial" w:hAnsi="Arial"/>
          <w:sz w:val="20"/>
          <w:szCs w:val="20"/>
          <w:color w:val="auto"/>
        </w:rPr>
        <w:t xml:space="preserve"> ("Ross"), the largest off-price apparel and home fashion chain in the United States with 1,566 locations in 39 states, the District of Columbia, and Guam. Ross offers first-quality, in-season, name brand and designer apparel, accessories, footwear, and home fashions for the entire family at savings of 20% to 60% off department and specialty store regular prices every day. The Company also operates 266 dd's DISCOUNTS</w:t>
      </w:r>
      <w:r>
        <w:rPr>
          <w:rFonts w:ascii="Arial" w:cs="Arial" w:eastAsia="Arial" w:hAnsi="Arial"/>
          <w:sz w:val="25"/>
          <w:szCs w:val="25"/>
          <w:color w:val="auto"/>
          <w:vertAlign w:val="superscript"/>
        </w:rPr>
        <w:t>®</w:t>
      </w:r>
      <w:r>
        <w:rPr>
          <w:rFonts w:ascii="Arial" w:cs="Arial" w:eastAsia="Arial" w:hAnsi="Arial"/>
          <w:sz w:val="20"/>
          <w:szCs w:val="20"/>
          <w:color w:val="auto"/>
        </w:rPr>
        <w:t xml:space="preserve"> in 20 states that feature a more moderately-priced assortment of first-quality, in-season, name brand apparel, accessories, footwear, and home fashions for the entire family at savings of 20% to 70% off moderate department and discount store regular prices every day.</w:t>
      </w:r>
    </w:p>
    <w:p>
      <w:pPr>
        <w:spacing w:after="0" w:line="216" w:lineRule="exact"/>
        <w:rPr>
          <w:sz w:val="20"/>
          <w:szCs w:val="20"/>
          <w:color w:val="auto"/>
        </w:rPr>
      </w:pPr>
    </w:p>
    <w:p>
      <w:pPr>
        <w:jc w:val="center"/>
        <w:ind w:right="-339"/>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36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927" w:right="339" w:bottom="1440" w:gutter="0" w:footer="0" w:header="0"/>
        </w:sectPr>
      </w:pPr>
    </w:p>
    <w:bookmarkStart w:id="5" w:name="page6"/>
    <w:bookmarkEnd w:id="5"/>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Ross Stores,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80" w:type="dxa"/>
            <w:vAlign w:val="bottom"/>
            <w:gridSpan w:val="4"/>
          </w:tcPr>
          <w:p>
            <w:pPr>
              <w:ind w:left="540"/>
              <w:spacing w:after="0"/>
              <w:rPr>
                <w:sz w:val="20"/>
                <w:szCs w:val="20"/>
                <w:color w:val="auto"/>
              </w:rPr>
            </w:pPr>
            <w:r>
              <w:rPr>
                <w:rFonts w:ascii="Arial" w:cs="Arial" w:eastAsia="Arial" w:hAnsi="Arial"/>
                <w:sz w:val="18"/>
                <w:szCs w:val="18"/>
                <w:b w:val="1"/>
                <w:bCs w:val="1"/>
                <w:color w:val="auto"/>
              </w:rPr>
              <w:t>Three Months Ended</w:t>
            </w:r>
          </w:p>
        </w:tc>
        <w:tc>
          <w:tcPr>
            <w:tcW w:w="280" w:type="dxa"/>
            <w:vAlign w:val="bottom"/>
          </w:tcPr>
          <w:p>
            <w:pPr>
              <w:spacing w:after="0"/>
              <w:rPr>
                <w:sz w:val="20"/>
                <w:szCs w:val="20"/>
                <w:color w:val="auto"/>
              </w:rPr>
            </w:pPr>
          </w:p>
        </w:tc>
        <w:tc>
          <w:tcPr>
            <w:tcW w:w="3000" w:type="dxa"/>
            <w:vAlign w:val="bottom"/>
            <w:gridSpan w:val="3"/>
          </w:tcPr>
          <w:p>
            <w:pPr>
              <w:jc w:val="right"/>
              <w:ind w:right="85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620" w:type="dxa"/>
            <w:vAlign w:val="bottom"/>
          </w:tcPr>
          <w:p>
            <w:pPr>
              <w:ind w:left="20"/>
              <w:spacing w:after="0"/>
              <w:rPr>
                <w:sz w:val="20"/>
                <w:szCs w:val="20"/>
                <w:color w:val="auto"/>
              </w:rPr>
            </w:pPr>
            <w:r>
              <w:rPr>
                <w:rFonts w:ascii="Arial" w:cs="Arial" w:eastAsia="Arial" w:hAnsi="Arial"/>
                <w:sz w:val="16"/>
                <w:szCs w:val="16"/>
                <w:color w:val="auto"/>
              </w:rPr>
              <w:t>($000, except stores and per share data, unaudited)</w:t>
            </w:r>
          </w:p>
        </w:tc>
        <w:tc>
          <w:tcPr>
            <w:tcW w:w="2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August 1, 2020</w:t>
            </w:r>
          </w:p>
        </w:tc>
        <w:tc>
          <w:tcPr>
            <w:tcW w:w="320" w:type="dxa"/>
            <w:vAlign w:val="bottom"/>
          </w:tcPr>
          <w:p>
            <w:pPr>
              <w:spacing w:after="0"/>
              <w:rPr>
                <w:sz w:val="20"/>
                <w:szCs w:val="20"/>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August 3, 2019</w:t>
            </w:r>
          </w:p>
        </w:tc>
        <w:tc>
          <w:tcPr>
            <w:tcW w:w="2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August 1, 2020</w:t>
            </w:r>
          </w:p>
        </w:tc>
        <w:tc>
          <w:tcPr>
            <w:tcW w:w="3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August 3, 2019</w:t>
            </w:r>
          </w:p>
        </w:tc>
        <w:tc>
          <w:tcPr>
            <w:tcW w:w="0" w:type="dxa"/>
            <w:vAlign w:val="bottom"/>
          </w:tcPr>
          <w:p>
            <w:pPr>
              <w:spacing w:after="0"/>
              <w:rPr>
                <w:sz w:val="1"/>
                <w:szCs w:val="1"/>
                <w:color w:val="auto"/>
              </w:rPr>
            </w:pPr>
          </w:p>
        </w:tc>
      </w:tr>
      <w:tr>
        <w:trPr>
          <w:trHeight w:val="27"/>
        </w:trPr>
        <w:tc>
          <w:tcPr>
            <w:tcW w:w="46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93"/>
        </w:trPr>
        <w:tc>
          <w:tcPr>
            <w:tcW w:w="4620" w:type="dxa"/>
            <w:vAlign w:val="bottom"/>
          </w:tcPr>
          <w:p>
            <w:pPr>
              <w:ind w:left="20"/>
              <w:spacing w:after="0"/>
              <w:rPr>
                <w:sz w:val="20"/>
                <w:szCs w:val="20"/>
                <w:color w:val="auto"/>
              </w:rPr>
            </w:pPr>
            <w:r>
              <w:rPr>
                <w:rFonts w:ascii="Arial" w:cs="Arial" w:eastAsia="Arial" w:hAnsi="Arial"/>
                <w:sz w:val="18"/>
                <w:szCs w:val="18"/>
                <w:b w:val="1"/>
                <w:bCs w:val="1"/>
                <w:color w:val="auto"/>
              </w:rPr>
              <w:t>Sales</w:t>
            </w:r>
          </w:p>
        </w:tc>
        <w:tc>
          <w:tcPr>
            <w:tcW w:w="26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360" w:type="dxa"/>
            <w:vAlign w:val="bottom"/>
          </w:tcPr>
          <w:p>
            <w:pPr>
              <w:jc w:val="right"/>
              <w:ind w:right="50"/>
              <w:spacing w:after="0"/>
              <w:rPr>
                <w:sz w:val="20"/>
                <w:szCs w:val="20"/>
                <w:color w:val="auto"/>
              </w:rPr>
            </w:pPr>
            <w:r>
              <w:rPr>
                <w:rFonts w:ascii="Arial" w:cs="Arial" w:eastAsia="Arial" w:hAnsi="Arial"/>
                <w:sz w:val="18"/>
                <w:szCs w:val="18"/>
                <w:b w:val="1"/>
                <w:bCs w:val="1"/>
                <w:color w:val="auto"/>
              </w:rPr>
              <w:t>2,684,712</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3,979,869</w:t>
            </w:r>
          </w:p>
        </w:tc>
        <w:tc>
          <w:tcPr>
            <w:tcW w:w="100" w:type="dxa"/>
            <w:vAlign w:val="bottom"/>
          </w:tcPr>
          <w:p>
            <w:pPr>
              <w:spacing w:after="0"/>
              <w:rPr>
                <w:sz w:val="24"/>
                <w:szCs w:val="24"/>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360" w:type="dxa"/>
            <w:vAlign w:val="bottom"/>
          </w:tcPr>
          <w:p>
            <w:pPr>
              <w:jc w:val="right"/>
              <w:ind w:right="50"/>
              <w:spacing w:after="0"/>
              <w:rPr>
                <w:sz w:val="20"/>
                <w:szCs w:val="20"/>
                <w:color w:val="auto"/>
              </w:rPr>
            </w:pPr>
            <w:r>
              <w:rPr>
                <w:rFonts w:ascii="Arial" w:cs="Arial" w:eastAsia="Arial" w:hAnsi="Arial"/>
                <w:sz w:val="18"/>
                <w:szCs w:val="18"/>
                <w:b w:val="1"/>
                <w:bCs w:val="1"/>
                <w:color w:val="auto"/>
              </w:rPr>
              <w:t>4,527,385</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7,776,511</w:t>
            </w:r>
          </w:p>
        </w:tc>
        <w:tc>
          <w:tcPr>
            <w:tcW w:w="0" w:type="dxa"/>
            <w:vAlign w:val="bottom"/>
          </w:tcPr>
          <w:p>
            <w:pPr>
              <w:spacing w:after="0"/>
              <w:rPr>
                <w:sz w:val="1"/>
                <w:szCs w:val="1"/>
                <w:color w:val="auto"/>
              </w:rPr>
            </w:pPr>
          </w:p>
        </w:tc>
      </w:tr>
      <w:tr>
        <w:trPr>
          <w:trHeight w:val="540"/>
        </w:trPr>
        <w:tc>
          <w:tcPr>
            <w:tcW w:w="4620" w:type="dxa"/>
            <w:vAlign w:val="bottom"/>
          </w:tcPr>
          <w:p>
            <w:pPr>
              <w:ind w:left="20"/>
              <w:spacing w:after="0"/>
              <w:rPr>
                <w:sz w:val="20"/>
                <w:szCs w:val="20"/>
                <w:color w:val="auto"/>
              </w:rPr>
            </w:pPr>
            <w:r>
              <w:rPr>
                <w:rFonts w:ascii="Arial" w:cs="Arial" w:eastAsia="Arial" w:hAnsi="Arial"/>
                <w:sz w:val="18"/>
                <w:szCs w:val="18"/>
                <w:b w:val="1"/>
                <w:bCs w:val="1"/>
                <w:color w:val="auto"/>
              </w:rPr>
              <w:t>Costs and Expenses</w:t>
            </w: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620" w:type="dxa"/>
            <w:vAlign w:val="bottom"/>
          </w:tcPr>
          <w:p>
            <w:pPr>
              <w:ind w:left="220"/>
              <w:spacing w:after="0"/>
              <w:rPr>
                <w:sz w:val="20"/>
                <w:szCs w:val="20"/>
                <w:color w:val="auto"/>
              </w:rPr>
            </w:pPr>
            <w:r>
              <w:rPr>
                <w:rFonts w:ascii="Arial" w:cs="Arial" w:eastAsia="Arial" w:hAnsi="Arial"/>
                <w:sz w:val="18"/>
                <w:szCs w:val="18"/>
                <w:color w:val="auto"/>
              </w:rPr>
              <w:t>Cost of goods sold</w:t>
            </w:r>
          </w:p>
        </w:tc>
        <w:tc>
          <w:tcPr>
            <w:tcW w:w="260" w:type="dxa"/>
            <w:vAlign w:val="bottom"/>
          </w:tcPr>
          <w:p>
            <w:pPr>
              <w:spacing w:after="0"/>
              <w:rPr>
                <w:sz w:val="23"/>
                <w:szCs w:val="23"/>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b w:val="1"/>
                <w:bCs w:val="1"/>
                <w:color w:val="auto"/>
              </w:rPr>
              <w:t>2,080,120</w:t>
            </w:r>
          </w:p>
        </w:tc>
        <w:tc>
          <w:tcPr>
            <w:tcW w:w="32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2,843,850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b w:val="1"/>
                <w:bCs w:val="1"/>
                <w:color w:val="auto"/>
              </w:rPr>
              <w:t>3,970,111</w:t>
            </w:r>
          </w:p>
        </w:tc>
        <w:tc>
          <w:tcPr>
            <w:tcW w:w="34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5,545,518</w:t>
            </w:r>
          </w:p>
        </w:tc>
        <w:tc>
          <w:tcPr>
            <w:tcW w:w="0" w:type="dxa"/>
            <w:vAlign w:val="bottom"/>
          </w:tcPr>
          <w:p>
            <w:pPr>
              <w:spacing w:after="0"/>
              <w:rPr>
                <w:sz w:val="1"/>
                <w:szCs w:val="1"/>
                <w:color w:val="auto"/>
              </w:rPr>
            </w:pPr>
          </w:p>
        </w:tc>
      </w:tr>
      <w:tr>
        <w:trPr>
          <w:trHeight w:val="270"/>
        </w:trPr>
        <w:tc>
          <w:tcPr>
            <w:tcW w:w="4620" w:type="dxa"/>
            <w:vAlign w:val="bottom"/>
          </w:tcPr>
          <w:p>
            <w:pPr>
              <w:ind w:left="22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tcPr>
          <w:p>
            <w:pPr>
              <w:spacing w:after="0"/>
              <w:rPr>
                <w:sz w:val="23"/>
                <w:szCs w:val="23"/>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b w:val="1"/>
                <w:bCs w:val="1"/>
                <w:color w:val="auto"/>
              </w:rPr>
              <w:t>519,495</w:t>
            </w:r>
          </w:p>
        </w:tc>
        <w:tc>
          <w:tcPr>
            <w:tcW w:w="32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591,970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b w:val="1"/>
                <w:bCs w:val="1"/>
                <w:color w:val="auto"/>
              </w:rPr>
              <w:t>934,800</w:t>
            </w:r>
          </w:p>
        </w:tc>
        <w:tc>
          <w:tcPr>
            <w:tcW w:w="34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1,150,220</w:t>
            </w:r>
          </w:p>
        </w:tc>
        <w:tc>
          <w:tcPr>
            <w:tcW w:w="0" w:type="dxa"/>
            <w:vAlign w:val="bottom"/>
          </w:tcPr>
          <w:p>
            <w:pPr>
              <w:spacing w:after="0"/>
              <w:rPr>
                <w:sz w:val="1"/>
                <w:szCs w:val="1"/>
                <w:color w:val="auto"/>
              </w:rPr>
            </w:pPr>
          </w:p>
        </w:tc>
      </w:tr>
      <w:tr>
        <w:trPr>
          <w:trHeight w:val="270"/>
        </w:trPr>
        <w:tc>
          <w:tcPr>
            <w:tcW w:w="4620" w:type="dxa"/>
            <w:vAlign w:val="bottom"/>
          </w:tcPr>
          <w:p>
            <w:pPr>
              <w:ind w:left="220"/>
              <w:spacing w:after="0"/>
              <w:rPr>
                <w:sz w:val="20"/>
                <w:szCs w:val="20"/>
                <w:color w:val="auto"/>
              </w:rPr>
            </w:pPr>
            <w:r>
              <w:rPr>
                <w:rFonts w:ascii="Arial" w:cs="Arial" w:eastAsia="Arial" w:hAnsi="Arial"/>
                <w:sz w:val="18"/>
                <w:szCs w:val="18"/>
                <w:color w:val="auto"/>
              </w:rPr>
              <w:t>Interest expense (income), net</w:t>
            </w:r>
          </w:p>
        </w:tc>
        <w:tc>
          <w:tcPr>
            <w:tcW w:w="260" w:type="dxa"/>
            <w:vAlign w:val="bottom"/>
          </w:tcPr>
          <w:p>
            <w:pPr>
              <w:spacing w:after="0"/>
              <w:rPr>
                <w:sz w:val="23"/>
                <w:szCs w:val="23"/>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b w:val="1"/>
                <w:bCs w:val="1"/>
                <w:color w:val="auto"/>
              </w:rPr>
              <w:t>28,855</w:t>
            </w:r>
          </w:p>
        </w:tc>
        <w:tc>
          <w:tcPr>
            <w:tcW w:w="32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(4,782)</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b w:val="1"/>
                <w:bCs w:val="1"/>
                <w:color w:val="auto"/>
              </w:rPr>
              <w:t>35,521</w:t>
            </w:r>
          </w:p>
        </w:tc>
        <w:tc>
          <w:tcPr>
            <w:tcW w:w="34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(10,417)</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620" w:type="dxa"/>
            <w:vAlign w:val="bottom"/>
          </w:tcPr>
          <w:p>
            <w:pPr>
              <w:ind w:left="380"/>
              <w:spacing w:after="0"/>
              <w:rPr>
                <w:sz w:val="20"/>
                <w:szCs w:val="20"/>
                <w:color w:val="auto"/>
              </w:rPr>
            </w:pPr>
            <w:r>
              <w:rPr>
                <w:rFonts w:ascii="Arial" w:cs="Arial" w:eastAsia="Arial" w:hAnsi="Arial"/>
                <w:sz w:val="18"/>
                <w:szCs w:val="18"/>
                <w:color w:val="auto"/>
              </w:rPr>
              <w:t>Total costs and expenses</w:t>
            </w:r>
          </w:p>
        </w:tc>
        <w:tc>
          <w:tcPr>
            <w:tcW w:w="260" w:type="dxa"/>
            <w:vAlign w:val="bottom"/>
          </w:tcPr>
          <w:p>
            <w:pPr>
              <w:spacing w:after="0"/>
              <w:rPr>
                <w:sz w:val="20"/>
                <w:szCs w:val="20"/>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b w:val="1"/>
                <w:bCs w:val="1"/>
                <w:color w:val="auto"/>
              </w:rPr>
              <w:t>2,628,470</w:t>
            </w:r>
          </w:p>
        </w:tc>
        <w:tc>
          <w:tcPr>
            <w:tcW w:w="3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3,431,038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b w:val="1"/>
                <w:bCs w:val="1"/>
                <w:color w:val="auto"/>
              </w:rPr>
              <w:t>4,940,432</w:t>
            </w:r>
          </w:p>
        </w:tc>
        <w:tc>
          <w:tcPr>
            <w:tcW w:w="3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6,685,321</w:t>
            </w:r>
          </w:p>
        </w:tc>
        <w:tc>
          <w:tcPr>
            <w:tcW w:w="0" w:type="dxa"/>
            <w:vAlign w:val="bottom"/>
          </w:tcPr>
          <w:p>
            <w:pPr>
              <w:spacing w:after="0"/>
              <w:rPr>
                <w:sz w:val="1"/>
                <w:szCs w:val="1"/>
                <w:color w:val="auto"/>
              </w:rPr>
            </w:pPr>
          </w:p>
        </w:tc>
      </w:tr>
      <w:tr>
        <w:trPr>
          <w:trHeight w:val="540"/>
        </w:trPr>
        <w:tc>
          <w:tcPr>
            <w:tcW w:w="4620" w:type="dxa"/>
            <w:vAlign w:val="bottom"/>
          </w:tcPr>
          <w:p>
            <w:pPr>
              <w:ind w:left="20"/>
              <w:spacing w:after="0"/>
              <w:rPr>
                <w:sz w:val="20"/>
                <w:szCs w:val="20"/>
                <w:color w:val="auto"/>
              </w:rPr>
            </w:pPr>
            <w:r>
              <w:rPr>
                <w:rFonts w:ascii="Arial" w:cs="Arial" w:eastAsia="Arial" w:hAnsi="Arial"/>
                <w:sz w:val="18"/>
                <w:szCs w:val="18"/>
                <w:color w:val="auto"/>
              </w:rPr>
              <w:t>Earnings (loss) before taxes</w:t>
            </w:r>
          </w:p>
        </w:tc>
        <w:tc>
          <w:tcPr>
            <w:tcW w:w="260" w:type="dxa"/>
            <w:vAlign w:val="bottom"/>
          </w:tcPr>
          <w:p>
            <w:pPr>
              <w:spacing w:after="0"/>
              <w:rPr>
                <w:sz w:val="24"/>
                <w:szCs w:val="24"/>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b w:val="1"/>
                <w:bCs w:val="1"/>
                <w:color w:val="auto"/>
              </w:rPr>
              <w:t>56,242</w:t>
            </w:r>
          </w:p>
        </w:tc>
        <w:tc>
          <w:tcPr>
            <w:tcW w:w="32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548,831</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(413,047)</w:t>
            </w:r>
          </w:p>
        </w:tc>
        <w:tc>
          <w:tcPr>
            <w:tcW w:w="34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1,091,190</w:t>
            </w:r>
          </w:p>
        </w:tc>
        <w:tc>
          <w:tcPr>
            <w:tcW w:w="0" w:type="dxa"/>
            <w:vAlign w:val="bottom"/>
          </w:tcPr>
          <w:p>
            <w:pPr>
              <w:spacing w:after="0"/>
              <w:rPr>
                <w:sz w:val="1"/>
                <w:szCs w:val="1"/>
                <w:color w:val="auto"/>
              </w:rPr>
            </w:pPr>
          </w:p>
        </w:tc>
      </w:tr>
      <w:tr>
        <w:trPr>
          <w:trHeight w:val="270"/>
        </w:trPr>
        <w:tc>
          <w:tcPr>
            <w:tcW w:w="4620" w:type="dxa"/>
            <w:vAlign w:val="bottom"/>
          </w:tcPr>
          <w:p>
            <w:pPr>
              <w:ind w:left="20"/>
              <w:spacing w:after="0"/>
              <w:rPr>
                <w:sz w:val="20"/>
                <w:szCs w:val="20"/>
                <w:color w:val="auto"/>
              </w:rPr>
            </w:pPr>
            <w:r>
              <w:rPr>
                <w:rFonts w:ascii="Arial" w:cs="Arial" w:eastAsia="Arial" w:hAnsi="Arial"/>
                <w:sz w:val="18"/>
                <w:szCs w:val="18"/>
                <w:color w:val="auto"/>
              </w:rPr>
              <w:t>Provision (benefit) for taxes on earnings (loss)</w:t>
            </w:r>
          </w:p>
        </w:tc>
        <w:tc>
          <w:tcPr>
            <w:tcW w:w="260" w:type="dxa"/>
            <w:vAlign w:val="bottom"/>
          </w:tcPr>
          <w:p>
            <w:pPr>
              <w:spacing w:after="0"/>
              <w:rPr>
                <w:sz w:val="23"/>
                <w:szCs w:val="23"/>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b w:val="1"/>
                <w:bCs w:val="1"/>
                <w:color w:val="auto"/>
              </w:rPr>
              <w:t>34,195</w:t>
            </w:r>
          </w:p>
        </w:tc>
        <w:tc>
          <w:tcPr>
            <w:tcW w:w="32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136,110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(129,252)</w:t>
            </w:r>
          </w:p>
        </w:tc>
        <w:tc>
          <w:tcPr>
            <w:tcW w:w="34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257,327</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620" w:type="dxa"/>
            <w:vAlign w:val="bottom"/>
          </w:tcPr>
          <w:p>
            <w:pPr>
              <w:ind w:left="20"/>
              <w:spacing w:after="0"/>
              <w:rPr>
                <w:sz w:val="20"/>
                <w:szCs w:val="20"/>
                <w:color w:val="auto"/>
              </w:rPr>
            </w:pPr>
            <w:r>
              <w:rPr>
                <w:rFonts w:ascii="Arial" w:cs="Arial" w:eastAsia="Arial" w:hAnsi="Arial"/>
                <w:sz w:val="18"/>
                <w:szCs w:val="18"/>
                <w:color w:val="auto"/>
              </w:rPr>
              <w:t>Net earnings (loss)</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3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22,047</w:t>
            </w:r>
          </w:p>
        </w:tc>
        <w:tc>
          <w:tcPr>
            <w:tcW w:w="3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412,721</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(283,795)</w:t>
            </w:r>
          </w:p>
        </w:tc>
        <w:tc>
          <w:tcPr>
            <w:tcW w:w="3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833,863</w:t>
            </w:r>
          </w:p>
        </w:tc>
        <w:tc>
          <w:tcPr>
            <w:tcW w:w="0" w:type="dxa"/>
            <w:vAlign w:val="bottom"/>
          </w:tcPr>
          <w:p>
            <w:pPr>
              <w:spacing w:after="0"/>
              <w:rPr>
                <w:sz w:val="1"/>
                <w:szCs w:val="1"/>
                <w:color w:val="auto"/>
              </w:rPr>
            </w:pPr>
          </w:p>
        </w:tc>
      </w:tr>
      <w:tr>
        <w:trPr>
          <w:trHeight w:val="21"/>
        </w:trPr>
        <w:tc>
          <w:tcPr>
            <w:tcW w:w="46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Earnings (loss) per share</w:t>
            </w: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79"/>
        </w:trPr>
        <w:tc>
          <w:tcPr>
            <w:tcW w:w="46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620" w:type="dxa"/>
            <w:vAlign w:val="bottom"/>
          </w:tcPr>
          <w:p>
            <w:pPr>
              <w:ind w:left="220"/>
              <w:spacing w:after="0"/>
              <w:rPr>
                <w:sz w:val="20"/>
                <w:szCs w:val="20"/>
                <w:color w:val="auto"/>
              </w:rPr>
            </w:pPr>
            <w:r>
              <w:rPr>
                <w:rFonts w:ascii="Arial" w:cs="Arial" w:eastAsia="Arial" w:hAnsi="Arial"/>
                <w:sz w:val="18"/>
                <w:szCs w:val="18"/>
                <w:color w:val="auto"/>
              </w:rPr>
              <w:t>Basic</w:t>
            </w:r>
          </w:p>
        </w:tc>
        <w:tc>
          <w:tcPr>
            <w:tcW w:w="26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360" w:type="dxa"/>
            <w:vAlign w:val="bottom"/>
          </w:tcPr>
          <w:p>
            <w:pPr>
              <w:jc w:val="right"/>
              <w:ind w:right="50"/>
              <w:spacing w:after="0"/>
              <w:rPr>
                <w:sz w:val="20"/>
                <w:szCs w:val="20"/>
                <w:color w:val="auto"/>
              </w:rPr>
            </w:pPr>
            <w:r>
              <w:rPr>
                <w:rFonts w:ascii="Arial" w:cs="Arial" w:eastAsia="Arial" w:hAnsi="Arial"/>
                <w:sz w:val="18"/>
                <w:szCs w:val="18"/>
                <w:b w:val="1"/>
                <w:bCs w:val="1"/>
                <w:color w:val="auto"/>
              </w:rPr>
              <w:t>0.06</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3"/>
                <w:szCs w:val="23"/>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(0.81)</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70"/>
        </w:trPr>
        <w:tc>
          <w:tcPr>
            <w:tcW w:w="4620" w:type="dxa"/>
            <w:vAlign w:val="bottom"/>
          </w:tcPr>
          <w:p>
            <w:pPr>
              <w:ind w:left="220"/>
              <w:spacing w:after="0"/>
              <w:rPr>
                <w:sz w:val="20"/>
                <w:szCs w:val="20"/>
                <w:color w:val="auto"/>
              </w:rPr>
            </w:pPr>
            <w:r>
              <w:rPr>
                <w:rFonts w:ascii="Arial" w:cs="Arial" w:eastAsia="Arial" w:hAnsi="Arial"/>
                <w:sz w:val="18"/>
                <w:szCs w:val="18"/>
                <w:color w:val="auto"/>
              </w:rPr>
              <w:t>Diluted</w:t>
            </w:r>
          </w:p>
        </w:tc>
        <w:tc>
          <w:tcPr>
            <w:tcW w:w="26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360" w:type="dxa"/>
            <w:vAlign w:val="bottom"/>
          </w:tcPr>
          <w:p>
            <w:pPr>
              <w:jc w:val="right"/>
              <w:ind w:right="50"/>
              <w:spacing w:after="0"/>
              <w:rPr>
                <w:sz w:val="20"/>
                <w:szCs w:val="20"/>
                <w:color w:val="auto"/>
              </w:rPr>
            </w:pPr>
            <w:r>
              <w:rPr>
                <w:rFonts w:ascii="Arial" w:cs="Arial" w:eastAsia="Arial" w:hAnsi="Arial"/>
                <w:sz w:val="18"/>
                <w:szCs w:val="18"/>
                <w:b w:val="1"/>
                <w:bCs w:val="1"/>
                <w:color w:val="auto"/>
              </w:rPr>
              <w:t>0.06</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3"/>
                <w:szCs w:val="23"/>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(0.81)</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97"/>
        </w:trPr>
        <w:tc>
          <w:tcPr>
            <w:tcW w:w="46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93"/>
        </w:trPr>
        <w:tc>
          <w:tcPr>
            <w:tcW w:w="4620" w:type="dxa"/>
            <w:vAlign w:val="bottom"/>
          </w:tcPr>
          <w:p>
            <w:pPr>
              <w:ind w:left="20"/>
              <w:spacing w:after="0"/>
              <w:rPr>
                <w:sz w:val="20"/>
                <w:szCs w:val="20"/>
                <w:color w:val="auto"/>
              </w:rPr>
            </w:pPr>
            <w:r>
              <w:rPr>
                <w:rFonts w:ascii="Arial" w:cs="Arial" w:eastAsia="Arial" w:hAnsi="Arial"/>
                <w:sz w:val="18"/>
                <w:szCs w:val="18"/>
                <w:b w:val="1"/>
                <w:bCs w:val="1"/>
                <w:color w:val="auto"/>
              </w:rPr>
              <w:t>Weighted average shares outstanding (000)</w:t>
            </w: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620" w:type="dxa"/>
            <w:vAlign w:val="bottom"/>
          </w:tcPr>
          <w:p>
            <w:pPr>
              <w:ind w:left="220"/>
              <w:spacing w:after="0"/>
              <w:rPr>
                <w:sz w:val="20"/>
                <w:szCs w:val="20"/>
                <w:color w:val="auto"/>
              </w:rPr>
            </w:pPr>
            <w:r>
              <w:rPr>
                <w:rFonts w:ascii="Arial" w:cs="Arial" w:eastAsia="Arial" w:hAnsi="Arial"/>
                <w:sz w:val="18"/>
                <w:szCs w:val="18"/>
                <w:color w:val="auto"/>
              </w:rPr>
              <w:t>Basic</w:t>
            </w:r>
          </w:p>
        </w:tc>
        <w:tc>
          <w:tcPr>
            <w:tcW w:w="26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352,276</w:t>
            </w:r>
          </w:p>
        </w:tc>
        <w:tc>
          <w:tcPr>
            <w:tcW w:w="32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359,794</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352,239</w:t>
            </w:r>
          </w:p>
        </w:tc>
        <w:tc>
          <w:tcPr>
            <w:tcW w:w="34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361,439</w:t>
            </w:r>
          </w:p>
        </w:tc>
        <w:tc>
          <w:tcPr>
            <w:tcW w:w="0" w:type="dxa"/>
            <w:vAlign w:val="bottom"/>
          </w:tcPr>
          <w:p>
            <w:pPr>
              <w:spacing w:after="0"/>
              <w:rPr>
                <w:sz w:val="1"/>
                <w:szCs w:val="1"/>
                <w:color w:val="auto"/>
              </w:rPr>
            </w:pPr>
          </w:p>
        </w:tc>
      </w:tr>
      <w:tr>
        <w:trPr>
          <w:trHeight w:val="270"/>
        </w:trPr>
        <w:tc>
          <w:tcPr>
            <w:tcW w:w="4620" w:type="dxa"/>
            <w:vAlign w:val="bottom"/>
          </w:tcPr>
          <w:p>
            <w:pPr>
              <w:ind w:left="220"/>
              <w:spacing w:after="0"/>
              <w:rPr>
                <w:sz w:val="20"/>
                <w:szCs w:val="20"/>
                <w:color w:val="auto"/>
              </w:rPr>
            </w:pPr>
            <w:r>
              <w:rPr>
                <w:rFonts w:ascii="Arial" w:cs="Arial" w:eastAsia="Arial" w:hAnsi="Arial"/>
                <w:sz w:val="18"/>
                <w:szCs w:val="18"/>
                <w:color w:val="auto"/>
              </w:rPr>
              <w:t>Diluted</w:t>
            </w:r>
          </w:p>
        </w:tc>
        <w:tc>
          <w:tcPr>
            <w:tcW w:w="26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354,232</w:t>
            </w:r>
          </w:p>
        </w:tc>
        <w:tc>
          <w:tcPr>
            <w:tcW w:w="32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362,074</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352,239</w:t>
            </w:r>
          </w:p>
        </w:tc>
        <w:tc>
          <w:tcPr>
            <w:tcW w:w="34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364,007</w:t>
            </w:r>
          </w:p>
        </w:tc>
        <w:tc>
          <w:tcPr>
            <w:tcW w:w="0" w:type="dxa"/>
            <w:vAlign w:val="bottom"/>
          </w:tcPr>
          <w:p>
            <w:pPr>
              <w:spacing w:after="0"/>
              <w:rPr>
                <w:sz w:val="1"/>
                <w:szCs w:val="1"/>
                <w:color w:val="auto"/>
              </w:rPr>
            </w:pPr>
          </w:p>
        </w:tc>
      </w:tr>
      <w:tr>
        <w:trPr>
          <w:trHeight w:val="297"/>
        </w:trPr>
        <w:tc>
          <w:tcPr>
            <w:tcW w:w="46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93"/>
        </w:trPr>
        <w:tc>
          <w:tcPr>
            <w:tcW w:w="4620" w:type="dxa"/>
            <w:vAlign w:val="bottom"/>
          </w:tcPr>
          <w:p>
            <w:pPr>
              <w:ind w:left="20"/>
              <w:spacing w:after="0"/>
              <w:rPr>
                <w:sz w:val="20"/>
                <w:szCs w:val="20"/>
                <w:color w:val="auto"/>
              </w:rPr>
            </w:pPr>
            <w:r>
              <w:rPr>
                <w:rFonts w:ascii="Arial" w:cs="Arial" w:eastAsia="Arial" w:hAnsi="Arial"/>
                <w:sz w:val="18"/>
                <w:szCs w:val="18"/>
                <w:color w:val="auto"/>
              </w:rPr>
              <w:t>Store count at end of period</w:t>
            </w:r>
          </w:p>
        </w:tc>
        <w:tc>
          <w:tcPr>
            <w:tcW w:w="260" w:type="dxa"/>
            <w:vAlign w:val="bottom"/>
          </w:tcPr>
          <w:p>
            <w:pPr>
              <w:spacing w:after="0"/>
              <w:rPr>
                <w:sz w:val="24"/>
                <w:szCs w:val="24"/>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b w:val="1"/>
                <w:bCs w:val="1"/>
                <w:color w:val="auto"/>
              </w:rPr>
              <w:t>1,832</w:t>
            </w:r>
          </w:p>
        </w:tc>
        <w:tc>
          <w:tcPr>
            <w:tcW w:w="32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1,772</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b w:val="1"/>
                <w:bCs w:val="1"/>
                <w:color w:val="auto"/>
              </w:rPr>
              <w:t>1,832</w:t>
            </w:r>
          </w:p>
        </w:tc>
        <w:tc>
          <w:tcPr>
            <w:tcW w:w="34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1,772</w:t>
            </w:r>
          </w:p>
        </w:tc>
        <w:tc>
          <w:tcPr>
            <w:tcW w:w="0" w:type="dxa"/>
            <w:vAlign w:val="bottom"/>
          </w:tcPr>
          <w:p>
            <w:pPr>
              <w:spacing w:after="0"/>
              <w:rPr>
                <w:sz w:val="1"/>
                <w:szCs w:val="1"/>
                <w:color w:val="auto"/>
              </w:rPr>
            </w:pPr>
          </w:p>
        </w:tc>
      </w:tr>
      <w:tr>
        <w:trPr>
          <w:trHeight w:val="297"/>
        </w:trPr>
        <w:tc>
          <w:tcPr>
            <w:tcW w:w="46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440" w:right="339" w:bottom="1440" w:gutter="0" w:footer="0" w:header="0"/>
        </w:sectPr>
      </w:pPr>
    </w:p>
    <w:bookmarkStart w:id="6" w:name="page7"/>
    <w:bookmarkEnd w:id="6"/>
    <w:p>
      <w:pPr>
        <w:spacing w:after="0" w:line="3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Ross Stores, Inc.</w:t>
      </w:r>
    </w:p>
    <w:p>
      <w:pPr>
        <w:spacing w:after="0" w:line="6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0" w:type="dxa"/>
            <w:vAlign w:val="bottom"/>
          </w:tcPr>
          <w:p>
            <w:pPr>
              <w:ind w:left="20"/>
              <w:spacing w:after="0"/>
              <w:rPr>
                <w:sz w:val="20"/>
                <w:szCs w:val="20"/>
                <w:color w:val="auto"/>
              </w:rPr>
            </w:pPr>
            <w:r>
              <w:rPr>
                <w:rFonts w:ascii="Arial" w:cs="Arial" w:eastAsia="Arial" w:hAnsi="Arial"/>
                <w:sz w:val="16"/>
                <w:szCs w:val="16"/>
                <w:color w:val="auto"/>
              </w:rPr>
              <w:t>($000, unaudited)</w:t>
            </w:r>
          </w:p>
        </w:tc>
        <w:tc>
          <w:tcPr>
            <w:tcW w:w="60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8"/>
                <w:szCs w:val="18"/>
                <w:b w:val="1"/>
                <w:bCs w:val="1"/>
                <w:color w:val="auto"/>
              </w:rPr>
              <w:t>August 1, 2020</w:t>
            </w:r>
          </w:p>
        </w:tc>
        <w:tc>
          <w:tcPr>
            <w:tcW w:w="68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August 3, 2019</w:t>
            </w:r>
          </w:p>
        </w:tc>
        <w:tc>
          <w:tcPr>
            <w:tcW w:w="0" w:type="dxa"/>
            <w:vAlign w:val="bottom"/>
          </w:tcPr>
          <w:p>
            <w:pPr>
              <w:spacing w:after="0"/>
              <w:rPr>
                <w:sz w:val="1"/>
                <w:szCs w:val="1"/>
                <w:color w:val="auto"/>
              </w:rPr>
            </w:pPr>
          </w:p>
        </w:tc>
      </w:tr>
      <w:tr>
        <w:trPr>
          <w:trHeight w:val="27"/>
        </w:trPr>
        <w:tc>
          <w:tcPr>
            <w:tcW w:w="66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60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6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6600" w:type="dxa"/>
            <w:vAlign w:val="bottom"/>
          </w:tcPr>
          <w:p>
            <w:pPr>
              <w:ind w:left="20"/>
              <w:spacing w:after="0"/>
              <w:rPr>
                <w:sz w:val="20"/>
                <w:szCs w:val="20"/>
                <w:color w:val="auto"/>
              </w:rPr>
            </w:pPr>
            <w:r>
              <w:rPr>
                <w:rFonts w:ascii="Arial" w:cs="Arial" w:eastAsia="Arial" w:hAnsi="Arial"/>
                <w:sz w:val="18"/>
                <w:szCs w:val="18"/>
                <w:b w:val="1"/>
                <w:bCs w:val="1"/>
                <w:color w:val="auto"/>
              </w:rPr>
              <w:t>Current Assets</w:t>
            </w:r>
          </w:p>
        </w:tc>
        <w:tc>
          <w:tcPr>
            <w:tcW w:w="6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600" w:type="dxa"/>
            <w:vAlign w:val="bottom"/>
          </w:tcPr>
          <w:p>
            <w:pPr>
              <w:ind w:left="240"/>
              <w:spacing w:after="0"/>
              <w:rPr>
                <w:sz w:val="20"/>
                <w:szCs w:val="20"/>
                <w:color w:val="auto"/>
              </w:rPr>
            </w:pPr>
            <w:r>
              <w:rPr>
                <w:rFonts w:ascii="Arial" w:cs="Arial" w:eastAsia="Arial" w:hAnsi="Arial"/>
                <w:sz w:val="18"/>
                <w:szCs w:val="18"/>
                <w:color w:val="auto"/>
              </w:rPr>
              <w:t>Cash and cash equivalents</w:t>
            </w:r>
          </w:p>
        </w:tc>
        <w:tc>
          <w:tcPr>
            <w:tcW w:w="600" w:type="dxa"/>
            <w:vAlign w:val="bottom"/>
          </w:tcPr>
          <w:p>
            <w:pPr>
              <w:jc w:val="right"/>
              <w:ind w:right="390"/>
              <w:spacing w:after="0"/>
              <w:rPr>
                <w:sz w:val="20"/>
                <w:szCs w:val="20"/>
                <w:color w:val="auto"/>
              </w:rPr>
            </w:pPr>
            <w:r>
              <w:rPr>
                <w:rFonts w:ascii="Arial" w:cs="Arial" w:eastAsia="Arial" w:hAnsi="Arial"/>
                <w:sz w:val="18"/>
                <w:szCs w:val="18"/>
                <w:b w:val="1"/>
                <w:bCs w:val="1"/>
                <w:color w:val="auto"/>
                <w:w w:val="99"/>
              </w:rPr>
              <w:t>$</w:t>
            </w:r>
          </w:p>
        </w:tc>
        <w:tc>
          <w:tcPr>
            <w:tcW w:w="1700" w:type="dxa"/>
            <w:vAlign w:val="bottom"/>
          </w:tcPr>
          <w:p>
            <w:pPr>
              <w:jc w:val="right"/>
              <w:ind w:right="70"/>
              <w:spacing w:after="0"/>
              <w:rPr>
                <w:sz w:val="20"/>
                <w:szCs w:val="20"/>
                <w:color w:val="auto"/>
              </w:rPr>
            </w:pPr>
            <w:r>
              <w:rPr>
                <w:rFonts w:ascii="Arial" w:cs="Arial" w:eastAsia="Arial" w:hAnsi="Arial"/>
                <w:sz w:val="18"/>
                <w:szCs w:val="18"/>
                <w:b w:val="1"/>
                <w:bCs w:val="1"/>
                <w:color w:val="auto"/>
              </w:rPr>
              <w:t>3,793,043</w:t>
            </w:r>
          </w:p>
        </w:tc>
        <w:tc>
          <w:tcPr>
            <w:tcW w:w="68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1,382,025</w:t>
            </w:r>
          </w:p>
        </w:tc>
        <w:tc>
          <w:tcPr>
            <w:tcW w:w="0" w:type="dxa"/>
            <w:vAlign w:val="bottom"/>
          </w:tcPr>
          <w:p>
            <w:pPr>
              <w:spacing w:after="0"/>
              <w:rPr>
                <w:sz w:val="1"/>
                <w:szCs w:val="1"/>
                <w:color w:val="auto"/>
              </w:rPr>
            </w:pPr>
          </w:p>
        </w:tc>
      </w:tr>
      <w:tr>
        <w:trPr>
          <w:trHeight w:val="270"/>
        </w:trPr>
        <w:tc>
          <w:tcPr>
            <w:tcW w:w="6600" w:type="dxa"/>
            <w:vAlign w:val="bottom"/>
          </w:tcPr>
          <w:p>
            <w:pPr>
              <w:ind w:left="240"/>
              <w:spacing w:after="0"/>
              <w:rPr>
                <w:sz w:val="20"/>
                <w:szCs w:val="20"/>
                <w:color w:val="auto"/>
              </w:rPr>
            </w:pPr>
            <w:r>
              <w:rPr>
                <w:rFonts w:ascii="Arial" w:cs="Arial" w:eastAsia="Arial" w:hAnsi="Arial"/>
                <w:sz w:val="18"/>
                <w:szCs w:val="18"/>
                <w:color w:val="auto"/>
              </w:rPr>
              <w:t>Accounts receivable</w:t>
            </w:r>
          </w:p>
        </w:tc>
        <w:tc>
          <w:tcPr>
            <w:tcW w:w="600" w:type="dxa"/>
            <w:vAlign w:val="bottom"/>
          </w:tcPr>
          <w:p>
            <w:pPr>
              <w:spacing w:after="0"/>
              <w:rPr>
                <w:sz w:val="23"/>
                <w:szCs w:val="23"/>
                <w:color w:val="auto"/>
              </w:rPr>
            </w:pPr>
          </w:p>
        </w:tc>
        <w:tc>
          <w:tcPr>
            <w:tcW w:w="1700" w:type="dxa"/>
            <w:vAlign w:val="bottom"/>
          </w:tcPr>
          <w:p>
            <w:pPr>
              <w:jc w:val="right"/>
              <w:ind w:right="70"/>
              <w:spacing w:after="0"/>
              <w:rPr>
                <w:sz w:val="20"/>
                <w:szCs w:val="20"/>
                <w:color w:val="auto"/>
              </w:rPr>
            </w:pPr>
            <w:r>
              <w:rPr>
                <w:rFonts w:ascii="Arial" w:cs="Arial" w:eastAsia="Arial" w:hAnsi="Arial"/>
                <w:sz w:val="18"/>
                <w:szCs w:val="18"/>
                <w:b w:val="1"/>
                <w:bCs w:val="1"/>
                <w:color w:val="auto"/>
              </w:rPr>
              <w:t>162,723</w:t>
            </w:r>
          </w:p>
        </w:tc>
        <w:tc>
          <w:tcPr>
            <w:tcW w:w="68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130,439</w:t>
            </w:r>
          </w:p>
        </w:tc>
        <w:tc>
          <w:tcPr>
            <w:tcW w:w="0" w:type="dxa"/>
            <w:vAlign w:val="bottom"/>
          </w:tcPr>
          <w:p>
            <w:pPr>
              <w:spacing w:after="0"/>
              <w:rPr>
                <w:sz w:val="1"/>
                <w:szCs w:val="1"/>
                <w:color w:val="auto"/>
              </w:rPr>
            </w:pPr>
          </w:p>
        </w:tc>
      </w:tr>
      <w:tr>
        <w:trPr>
          <w:trHeight w:val="270"/>
        </w:trPr>
        <w:tc>
          <w:tcPr>
            <w:tcW w:w="6600" w:type="dxa"/>
            <w:vAlign w:val="bottom"/>
          </w:tcPr>
          <w:p>
            <w:pPr>
              <w:ind w:left="240"/>
              <w:spacing w:after="0"/>
              <w:rPr>
                <w:sz w:val="20"/>
                <w:szCs w:val="20"/>
                <w:color w:val="auto"/>
              </w:rPr>
            </w:pPr>
            <w:r>
              <w:rPr>
                <w:rFonts w:ascii="Arial" w:cs="Arial" w:eastAsia="Arial" w:hAnsi="Arial"/>
                <w:sz w:val="18"/>
                <w:szCs w:val="18"/>
                <w:color w:val="auto"/>
              </w:rPr>
              <w:t>Merchandise inventory</w:t>
            </w:r>
          </w:p>
        </w:tc>
        <w:tc>
          <w:tcPr>
            <w:tcW w:w="600" w:type="dxa"/>
            <w:vAlign w:val="bottom"/>
          </w:tcPr>
          <w:p>
            <w:pPr>
              <w:spacing w:after="0"/>
              <w:rPr>
                <w:sz w:val="23"/>
                <w:szCs w:val="23"/>
                <w:color w:val="auto"/>
              </w:rPr>
            </w:pPr>
          </w:p>
        </w:tc>
        <w:tc>
          <w:tcPr>
            <w:tcW w:w="1700" w:type="dxa"/>
            <w:vAlign w:val="bottom"/>
          </w:tcPr>
          <w:p>
            <w:pPr>
              <w:jc w:val="right"/>
              <w:ind w:right="70"/>
              <w:spacing w:after="0"/>
              <w:rPr>
                <w:sz w:val="20"/>
                <w:szCs w:val="20"/>
                <w:color w:val="auto"/>
              </w:rPr>
            </w:pPr>
            <w:r>
              <w:rPr>
                <w:rFonts w:ascii="Arial" w:cs="Arial" w:eastAsia="Arial" w:hAnsi="Arial"/>
                <w:sz w:val="18"/>
                <w:szCs w:val="18"/>
                <w:b w:val="1"/>
                <w:bCs w:val="1"/>
                <w:color w:val="auto"/>
              </w:rPr>
              <w:t>1,117,983</w:t>
            </w:r>
          </w:p>
        </w:tc>
        <w:tc>
          <w:tcPr>
            <w:tcW w:w="68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1,835,869</w:t>
            </w:r>
          </w:p>
        </w:tc>
        <w:tc>
          <w:tcPr>
            <w:tcW w:w="0" w:type="dxa"/>
            <w:vAlign w:val="bottom"/>
          </w:tcPr>
          <w:p>
            <w:pPr>
              <w:spacing w:after="0"/>
              <w:rPr>
                <w:sz w:val="1"/>
                <w:szCs w:val="1"/>
                <w:color w:val="auto"/>
              </w:rPr>
            </w:pPr>
          </w:p>
        </w:tc>
      </w:tr>
      <w:tr>
        <w:trPr>
          <w:trHeight w:val="270"/>
        </w:trPr>
        <w:tc>
          <w:tcPr>
            <w:tcW w:w="6600" w:type="dxa"/>
            <w:vAlign w:val="bottom"/>
          </w:tcPr>
          <w:p>
            <w:pPr>
              <w:ind w:left="240"/>
              <w:spacing w:after="0"/>
              <w:rPr>
                <w:sz w:val="20"/>
                <w:szCs w:val="20"/>
                <w:color w:val="auto"/>
              </w:rPr>
            </w:pPr>
            <w:r>
              <w:rPr>
                <w:rFonts w:ascii="Arial" w:cs="Arial" w:eastAsia="Arial" w:hAnsi="Arial"/>
                <w:sz w:val="18"/>
                <w:szCs w:val="18"/>
                <w:color w:val="auto"/>
              </w:rPr>
              <w:t>Prepaid expenses and other</w:t>
            </w:r>
          </w:p>
        </w:tc>
        <w:tc>
          <w:tcPr>
            <w:tcW w:w="600" w:type="dxa"/>
            <w:vAlign w:val="bottom"/>
          </w:tcPr>
          <w:p>
            <w:pPr>
              <w:spacing w:after="0"/>
              <w:rPr>
                <w:sz w:val="23"/>
                <w:szCs w:val="23"/>
                <w:color w:val="auto"/>
              </w:rPr>
            </w:pPr>
          </w:p>
        </w:tc>
        <w:tc>
          <w:tcPr>
            <w:tcW w:w="1700" w:type="dxa"/>
            <w:vAlign w:val="bottom"/>
          </w:tcPr>
          <w:p>
            <w:pPr>
              <w:jc w:val="right"/>
              <w:ind w:right="70"/>
              <w:spacing w:after="0"/>
              <w:rPr>
                <w:sz w:val="20"/>
                <w:szCs w:val="20"/>
                <w:color w:val="auto"/>
              </w:rPr>
            </w:pPr>
            <w:r>
              <w:rPr>
                <w:rFonts w:ascii="Arial" w:cs="Arial" w:eastAsia="Arial" w:hAnsi="Arial"/>
                <w:sz w:val="18"/>
                <w:szCs w:val="18"/>
                <w:b w:val="1"/>
                <w:bCs w:val="1"/>
                <w:color w:val="auto"/>
              </w:rPr>
              <w:t>273,612</w:t>
            </w:r>
          </w:p>
        </w:tc>
        <w:tc>
          <w:tcPr>
            <w:tcW w:w="68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167,585</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600" w:type="dxa"/>
            <w:vAlign w:val="bottom"/>
          </w:tcPr>
          <w:p>
            <w:pPr>
              <w:ind w:left="500"/>
              <w:spacing w:after="0"/>
              <w:rPr>
                <w:sz w:val="20"/>
                <w:szCs w:val="20"/>
                <w:color w:val="auto"/>
              </w:rPr>
            </w:pPr>
            <w:r>
              <w:rPr>
                <w:rFonts w:ascii="Arial" w:cs="Arial" w:eastAsia="Arial" w:hAnsi="Arial"/>
                <w:sz w:val="18"/>
                <w:szCs w:val="18"/>
                <w:color w:val="auto"/>
              </w:rPr>
              <w:t>Total current assets</w:t>
            </w:r>
          </w:p>
        </w:tc>
        <w:tc>
          <w:tcPr>
            <w:tcW w:w="600" w:type="dxa"/>
            <w:vAlign w:val="bottom"/>
          </w:tcPr>
          <w:p>
            <w:pPr>
              <w:spacing w:after="0"/>
              <w:rPr>
                <w:sz w:val="20"/>
                <w:szCs w:val="20"/>
                <w:color w:val="auto"/>
              </w:rPr>
            </w:pPr>
          </w:p>
        </w:tc>
        <w:tc>
          <w:tcPr>
            <w:tcW w:w="1700" w:type="dxa"/>
            <w:vAlign w:val="bottom"/>
          </w:tcPr>
          <w:p>
            <w:pPr>
              <w:jc w:val="right"/>
              <w:ind w:right="70"/>
              <w:spacing w:after="0"/>
              <w:rPr>
                <w:sz w:val="20"/>
                <w:szCs w:val="20"/>
                <w:color w:val="auto"/>
              </w:rPr>
            </w:pPr>
            <w:r>
              <w:rPr>
                <w:rFonts w:ascii="Arial" w:cs="Arial" w:eastAsia="Arial" w:hAnsi="Arial"/>
                <w:sz w:val="18"/>
                <w:szCs w:val="18"/>
                <w:b w:val="1"/>
                <w:bCs w:val="1"/>
                <w:color w:val="auto"/>
              </w:rPr>
              <w:t>5,347,361</w:t>
            </w:r>
          </w:p>
        </w:tc>
        <w:tc>
          <w:tcPr>
            <w:tcW w:w="68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3,515,918</w:t>
            </w:r>
          </w:p>
        </w:tc>
        <w:tc>
          <w:tcPr>
            <w:tcW w:w="0" w:type="dxa"/>
            <w:vAlign w:val="bottom"/>
          </w:tcPr>
          <w:p>
            <w:pPr>
              <w:spacing w:after="0"/>
              <w:rPr>
                <w:sz w:val="1"/>
                <w:szCs w:val="1"/>
                <w:color w:val="auto"/>
              </w:rPr>
            </w:pPr>
          </w:p>
        </w:tc>
      </w:tr>
      <w:tr>
        <w:trPr>
          <w:trHeight w:val="540"/>
        </w:trPr>
        <w:tc>
          <w:tcPr>
            <w:tcW w:w="660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600" w:type="dxa"/>
            <w:vAlign w:val="bottom"/>
          </w:tcPr>
          <w:p>
            <w:pPr>
              <w:spacing w:after="0"/>
              <w:rPr>
                <w:sz w:val="24"/>
                <w:szCs w:val="24"/>
                <w:color w:val="auto"/>
              </w:rPr>
            </w:pPr>
          </w:p>
        </w:tc>
        <w:tc>
          <w:tcPr>
            <w:tcW w:w="1700" w:type="dxa"/>
            <w:vAlign w:val="bottom"/>
          </w:tcPr>
          <w:p>
            <w:pPr>
              <w:jc w:val="right"/>
              <w:ind w:right="70"/>
              <w:spacing w:after="0"/>
              <w:rPr>
                <w:sz w:val="20"/>
                <w:szCs w:val="20"/>
                <w:color w:val="auto"/>
              </w:rPr>
            </w:pPr>
            <w:r>
              <w:rPr>
                <w:rFonts w:ascii="Arial" w:cs="Arial" w:eastAsia="Arial" w:hAnsi="Arial"/>
                <w:sz w:val="18"/>
                <w:szCs w:val="18"/>
                <w:b w:val="1"/>
                <w:bCs w:val="1"/>
                <w:color w:val="auto"/>
              </w:rPr>
              <w:t>2,706,105</w:t>
            </w:r>
          </w:p>
        </w:tc>
        <w:tc>
          <w:tcPr>
            <w:tcW w:w="68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2,505,040</w:t>
            </w:r>
          </w:p>
        </w:tc>
        <w:tc>
          <w:tcPr>
            <w:tcW w:w="0" w:type="dxa"/>
            <w:vAlign w:val="bottom"/>
          </w:tcPr>
          <w:p>
            <w:pPr>
              <w:spacing w:after="0"/>
              <w:rPr>
                <w:sz w:val="1"/>
                <w:szCs w:val="1"/>
                <w:color w:val="auto"/>
              </w:rPr>
            </w:pPr>
          </w:p>
        </w:tc>
      </w:tr>
      <w:tr>
        <w:trPr>
          <w:trHeight w:val="270"/>
        </w:trPr>
        <w:tc>
          <w:tcPr>
            <w:tcW w:w="6600" w:type="dxa"/>
            <w:vAlign w:val="bottom"/>
          </w:tcPr>
          <w:p>
            <w:pPr>
              <w:ind w:left="20"/>
              <w:spacing w:after="0"/>
              <w:rPr>
                <w:sz w:val="20"/>
                <w:szCs w:val="20"/>
                <w:color w:val="auto"/>
              </w:rPr>
            </w:pPr>
            <w:r>
              <w:rPr>
                <w:rFonts w:ascii="Arial" w:cs="Arial" w:eastAsia="Arial" w:hAnsi="Arial"/>
                <w:sz w:val="18"/>
                <w:szCs w:val="18"/>
                <w:color w:val="auto"/>
              </w:rPr>
              <w:t>Operating lease assets</w:t>
            </w:r>
          </w:p>
        </w:tc>
        <w:tc>
          <w:tcPr>
            <w:tcW w:w="600" w:type="dxa"/>
            <w:vAlign w:val="bottom"/>
          </w:tcPr>
          <w:p>
            <w:pPr>
              <w:spacing w:after="0"/>
              <w:rPr>
                <w:sz w:val="23"/>
                <w:szCs w:val="23"/>
                <w:color w:val="auto"/>
              </w:rPr>
            </w:pPr>
          </w:p>
        </w:tc>
        <w:tc>
          <w:tcPr>
            <w:tcW w:w="1700" w:type="dxa"/>
            <w:vAlign w:val="bottom"/>
          </w:tcPr>
          <w:p>
            <w:pPr>
              <w:jc w:val="right"/>
              <w:ind w:right="70"/>
              <w:spacing w:after="0"/>
              <w:rPr>
                <w:sz w:val="20"/>
                <w:szCs w:val="20"/>
                <w:color w:val="auto"/>
              </w:rPr>
            </w:pPr>
            <w:r>
              <w:rPr>
                <w:rFonts w:ascii="Arial" w:cs="Arial" w:eastAsia="Arial" w:hAnsi="Arial"/>
                <w:sz w:val="18"/>
                <w:szCs w:val="18"/>
                <w:b w:val="1"/>
                <w:bCs w:val="1"/>
                <w:color w:val="auto"/>
              </w:rPr>
              <w:t>3,053,735</w:t>
            </w:r>
          </w:p>
        </w:tc>
        <w:tc>
          <w:tcPr>
            <w:tcW w:w="68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2,932,199</w:t>
            </w:r>
          </w:p>
        </w:tc>
        <w:tc>
          <w:tcPr>
            <w:tcW w:w="0" w:type="dxa"/>
            <w:vAlign w:val="bottom"/>
          </w:tcPr>
          <w:p>
            <w:pPr>
              <w:spacing w:after="0"/>
              <w:rPr>
                <w:sz w:val="1"/>
                <w:szCs w:val="1"/>
                <w:color w:val="auto"/>
              </w:rPr>
            </w:pPr>
          </w:p>
        </w:tc>
      </w:tr>
      <w:tr>
        <w:trPr>
          <w:trHeight w:val="270"/>
        </w:trPr>
        <w:tc>
          <w:tcPr>
            <w:tcW w:w="6600" w:type="dxa"/>
            <w:vAlign w:val="bottom"/>
          </w:tcPr>
          <w:p>
            <w:pPr>
              <w:ind w:left="20"/>
              <w:spacing w:after="0"/>
              <w:rPr>
                <w:sz w:val="20"/>
                <w:szCs w:val="20"/>
                <w:color w:val="auto"/>
              </w:rPr>
            </w:pPr>
            <w:r>
              <w:rPr>
                <w:rFonts w:ascii="Arial" w:cs="Arial" w:eastAsia="Arial" w:hAnsi="Arial"/>
                <w:sz w:val="18"/>
                <w:szCs w:val="18"/>
                <w:color w:val="auto"/>
              </w:rPr>
              <w:t>Other long-term assets</w:t>
            </w:r>
          </w:p>
        </w:tc>
        <w:tc>
          <w:tcPr>
            <w:tcW w:w="600" w:type="dxa"/>
            <w:vAlign w:val="bottom"/>
          </w:tcPr>
          <w:p>
            <w:pPr>
              <w:spacing w:after="0"/>
              <w:rPr>
                <w:sz w:val="23"/>
                <w:szCs w:val="23"/>
                <w:color w:val="auto"/>
              </w:rPr>
            </w:pPr>
          </w:p>
        </w:tc>
        <w:tc>
          <w:tcPr>
            <w:tcW w:w="1700" w:type="dxa"/>
            <w:vAlign w:val="bottom"/>
          </w:tcPr>
          <w:p>
            <w:pPr>
              <w:jc w:val="right"/>
              <w:ind w:right="70"/>
              <w:spacing w:after="0"/>
              <w:rPr>
                <w:sz w:val="20"/>
                <w:szCs w:val="20"/>
                <w:color w:val="auto"/>
              </w:rPr>
            </w:pPr>
            <w:r>
              <w:rPr>
                <w:rFonts w:ascii="Arial" w:cs="Arial" w:eastAsia="Arial" w:hAnsi="Arial"/>
                <w:sz w:val="18"/>
                <w:szCs w:val="18"/>
                <w:b w:val="1"/>
                <w:bCs w:val="1"/>
                <w:color w:val="auto"/>
              </w:rPr>
              <w:t>215,044</w:t>
            </w:r>
          </w:p>
        </w:tc>
        <w:tc>
          <w:tcPr>
            <w:tcW w:w="68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198,790</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660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6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w w:val="99"/>
              </w:rPr>
              <w:t>$</w:t>
            </w:r>
          </w:p>
        </w:tc>
        <w:tc>
          <w:tcPr>
            <w:tcW w:w="17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11,322,245</w:t>
            </w:r>
          </w:p>
        </w:tc>
        <w:tc>
          <w:tcPr>
            <w:tcW w:w="6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9,151,947</w:t>
            </w:r>
          </w:p>
        </w:tc>
        <w:tc>
          <w:tcPr>
            <w:tcW w:w="0" w:type="dxa"/>
            <w:vAlign w:val="bottom"/>
          </w:tcPr>
          <w:p>
            <w:pPr>
              <w:spacing w:after="0"/>
              <w:rPr>
                <w:sz w:val="1"/>
                <w:szCs w:val="1"/>
                <w:color w:val="auto"/>
              </w:rPr>
            </w:pPr>
          </w:p>
        </w:tc>
      </w:tr>
      <w:tr>
        <w:trPr>
          <w:trHeight w:val="20"/>
        </w:trPr>
        <w:tc>
          <w:tcPr>
            <w:tcW w:w="66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6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0"/>
        </w:trPr>
        <w:tc>
          <w:tcPr>
            <w:tcW w:w="660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6600" w:type="dxa"/>
            <w:vAlign w:val="bottom"/>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6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600" w:type="dxa"/>
            <w:vAlign w:val="bottom"/>
          </w:tcPr>
          <w:p>
            <w:pPr>
              <w:ind w:left="240"/>
              <w:spacing w:after="0"/>
              <w:rPr>
                <w:sz w:val="20"/>
                <w:szCs w:val="20"/>
                <w:color w:val="auto"/>
              </w:rPr>
            </w:pPr>
            <w:r>
              <w:rPr>
                <w:rFonts w:ascii="Arial" w:cs="Arial" w:eastAsia="Arial" w:hAnsi="Arial"/>
                <w:sz w:val="18"/>
                <w:szCs w:val="18"/>
                <w:color w:val="auto"/>
              </w:rPr>
              <w:t>Accounts payable</w:t>
            </w:r>
          </w:p>
        </w:tc>
        <w:tc>
          <w:tcPr>
            <w:tcW w:w="600" w:type="dxa"/>
            <w:vAlign w:val="bottom"/>
          </w:tcPr>
          <w:p>
            <w:pPr>
              <w:jc w:val="right"/>
              <w:ind w:right="390"/>
              <w:spacing w:after="0"/>
              <w:rPr>
                <w:sz w:val="20"/>
                <w:szCs w:val="20"/>
                <w:color w:val="auto"/>
              </w:rPr>
            </w:pPr>
            <w:r>
              <w:rPr>
                <w:rFonts w:ascii="Arial" w:cs="Arial" w:eastAsia="Arial" w:hAnsi="Arial"/>
                <w:sz w:val="18"/>
                <w:szCs w:val="18"/>
                <w:b w:val="1"/>
                <w:bCs w:val="1"/>
                <w:color w:val="auto"/>
                <w:w w:val="99"/>
              </w:rPr>
              <w:t>$</w:t>
            </w:r>
          </w:p>
        </w:tc>
        <w:tc>
          <w:tcPr>
            <w:tcW w:w="1700" w:type="dxa"/>
            <w:vAlign w:val="bottom"/>
          </w:tcPr>
          <w:p>
            <w:pPr>
              <w:jc w:val="right"/>
              <w:ind w:right="70"/>
              <w:spacing w:after="0"/>
              <w:rPr>
                <w:sz w:val="20"/>
                <w:szCs w:val="20"/>
                <w:color w:val="auto"/>
              </w:rPr>
            </w:pPr>
            <w:r>
              <w:rPr>
                <w:rFonts w:ascii="Arial" w:cs="Arial" w:eastAsia="Arial" w:hAnsi="Arial"/>
                <w:sz w:val="18"/>
                <w:szCs w:val="18"/>
                <w:b w:val="1"/>
                <w:bCs w:val="1"/>
                <w:color w:val="auto"/>
              </w:rPr>
              <w:t>1,009,704</w:t>
            </w:r>
          </w:p>
        </w:tc>
        <w:tc>
          <w:tcPr>
            <w:tcW w:w="68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1,359,829</w:t>
            </w:r>
          </w:p>
        </w:tc>
        <w:tc>
          <w:tcPr>
            <w:tcW w:w="0" w:type="dxa"/>
            <w:vAlign w:val="bottom"/>
          </w:tcPr>
          <w:p>
            <w:pPr>
              <w:spacing w:after="0"/>
              <w:rPr>
                <w:sz w:val="1"/>
                <w:szCs w:val="1"/>
                <w:color w:val="auto"/>
              </w:rPr>
            </w:pPr>
          </w:p>
        </w:tc>
      </w:tr>
      <w:tr>
        <w:trPr>
          <w:trHeight w:val="270"/>
        </w:trPr>
        <w:tc>
          <w:tcPr>
            <w:tcW w:w="6600" w:type="dxa"/>
            <w:vAlign w:val="bottom"/>
          </w:tcPr>
          <w:p>
            <w:pPr>
              <w:ind w:left="240"/>
              <w:spacing w:after="0"/>
              <w:rPr>
                <w:sz w:val="20"/>
                <w:szCs w:val="20"/>
                <w:color w:val="auto"/>
              </w:rPr>
            </w:pPr>
            <w:r>
              <w:rPr>
                <w:rFonts w:ascii="Arial" w:cs="Arial" w:eastAsia="Arial" w:hAnsi="Arial"/>
                <w:sz w:val="18"/>
                <w:szCs w:val="18"/>
                <w:color w:val="auto"/>
              </w:rPr>
              <w:t>Accrued expenses and other</w:t>
            </w:r>
          </w:p>
        </w:tc>
        <w:tc>
          <w:tcPr>
            <w:tcW w:w="600" w:type="dxa"/>
            <w:vAlign w:val="bottom"/>
          </w:tcPr>
          <w:p>
            <w:pPr>
              <w:spacing w:after="0"/>
              <w:rPr>
                <w:sz w:val="23"/>
                <w:szCs w:val="23"/>
                <w:color w:val="auto"/>
              </w:rPr>
            </w:pPr>
          </w:p>
        </w:tc>
        <w:tc>
          <w:tcPr>
            <w:tcW w:w="1700" w:type="dxa"/>
            <w:vAlign w:val="bottom"/>
          </w:tcPr>
          <w:p>
            <w:pPr>
              <w:jc w:val="right"/>
              <w:ind w:right="70"/>
              <w:spacing w:after="0"/>
              <w:rPr>
                <w:sz w:val="20"/>
                <w:szCs w:val="20"/>
                <w:color w:val="auto"/>
              </w:rPr>
            </w:pPr>
            <w:r>
              <w:rPr>
                <w:rFonts w:ascii="Arial" w:cs="Arial" w:eastAsia="Arial" w:hAnsi="Arial"/>
                <w:sz w:val="18"/>
                <w:szCs w:val="18"/>
                <w:b w:val="1"/>
                <w:bCs w:val="1"/>
                <w:color w:val="auto"/>
              </w:rPr>
              <w:t>557,475</w:t>
            </w:r>
          </w:p>
        </w:tc>
        <w:tc>
          <w:tcPr>
            <w:tcW w:w="68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474,273</w:t>
            </w:r>
          </w:p>
        </w:tc>
        <w:tc>
          <w:tcPr>
            <w:tcW w:w="0" w:type="dxa"/>
            <w:vAlign w:val="bottom"/>
          </w:tcPr>
          <w:p>
            <w:pPr>
              <w:spacing w:after="0"/>
              <w:rPr>
                <w:sz w:val="1"/>
                <w:szCs w:val="1"/>
                <w:color w:val="auto"/>
              </w:rPr>
            </w:pPr>
          </w:p>
        </w:tc>
      </w:tr>
      <w:tr>
        <w:trPr>
          <w:trHeight w:val="270"/>
        </w:trPr>
        <w:tc>
          <w:tcPr>
            <w:tcW w:w="6600" w:type="dxa"/>
            <w:vAlign w:val="bottom"/>
          </w:tcPr>
          <w:p>
            <w:pPr>
              <w:ind w:left="240"/>
              <w:spacing w:after="0"/>
              <w:rPr>
                <w:sz w:val="20"/>
                <w:szCs w:val="20"/>
                <w:color w:val="auto"/>
              </w:rPr>
            </w:pPr>
            <w:r>
              <w:rPr>
                <w:rFonts w:ascii="Arial" w:cs="Arial" w:eastAsia="Arial" w:hAnsi="Arial"/>
                <w:sz w:val="18"/>
                <w:szCs w:val="18"/>
                <w:color w:val="auto"/>
              </w:rPr>
              <w:t>Current operating lease liabilities</w:t>
            </w:r>
          </w:p>
        </w:tc>
        <w:tc>
          <w:tcPr>
            <w:tcW w:w="600" w:type="dxa"/>
            <w:vAlign w:val="bottom"/>
          </w:tcPr>
          <w:p>
            <w:pPr>
              <w:spacing w:after="0"/>
              <w:rPr>
                <w:sz w:val="23"/>
                <w:szCs w:val="23"/>
                <w:color w:val="auto"/>
              </w:rPr>
            </w:pPr>
          </w:p>
        </w:tc>
        <w:tc>
          <w:tcPr>
            <w:tcW w:w="1700" w:type="dxa"/>
            <w:vAlign w:val="bottom"/>
          </w:tcPr>
          <w:p>
            <w:pPr>
              <w:jc w:val="right"/>
              <w:ind w:right="70"/>
              <w:spacing w:after="0"/>
              <w:rPr>
                <w:sz w:val="20"/>
                <w:szCs w:val="20"/>
                <w:color w:val="auto"/>
              </w:rPr>
            </w:pPr>
            <w:r>
              <w:rPr>
                <w:rFonts w:ascii="Arial" w:cs="Arial" w:eastAsia="Arial" w:hAnsi="Arial"/>
                <w:sz w:val="18"/>
                <w:szCs w:val="18"/>
                <w:b w:val="1"/>
                <w:bCs w:val="1"/>
                <w:color w:val="auto"/>
              </w:rPr>
              <w:t>579,277</w:t>
            </w:r>
          </w:p>
        </w:tc>
        <w:tc>
          <w:tcPr>
            <w:tcW w:w="68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549,841</w:t>
            </w:r>
          </w:p>
        </w:tc>
        <w:tc>
          <w:tcPr>
            <w:tcW w:w="0" w:type="dxa"/>
            <w:vAlign w:val="bottom"/>
          </w:tcPr>
          <w:p>
            <w:pPr>
              <w:spacing w:after="0"/>
              <w:rPr>
                <w:sz w:val="1"/>
                <w:szCs w:val="1"/>
                <w:color w:val="auto"/>
              </w:rPr>
            </w:pPr>
          </w:p>
        </w:tc>
      </w:tr>
      <w:tr>
        <w:trPr>
          <w:trHeight w:val="270"/>
        </w:trPr>
        <w:tc>
          <w:tcPr>
            <w:tcW w:w="6600" w:type="dxa"/>
            <w:vAlign w:val="bottom"/>
          </w:tcPr>
          <w:p>
            <w:pPr>
              <w:ind w:left="240"/>
              <w:spacing w:after="0"/>
              <w:rPr>
                <w:sz w:val="20"/>
                <w:szCs w:val="20"/>
                <w:color w:val="auto"/>
              </w:rPr>
            </w:pPr>
            <w:r>
              <w:rPr>
                <w:rFonts w:ascii="Arial" w:cs="Arial" w:eastAsia="Arial" w:hAnsi="Arial"/>
                <w:sz w:val="18"/>
                <w:szCs w:val="18"/>
                <w:color w:val="auto"/>
              </w:rPr>
              <w:t>Accrued payroll and benefits</w:t>
            </w:r>
          </w:p>
        </w:tc>
        <w:tc>
          <w:tcPr>
            <w:tcW w:w="600" w:type="dxa"/>
            <w:vAlign w:val="bottom"/>
          </w:tcPr>
          <w:p>
            <w:pPr>
              <w:spacing w:after="0"/>
              <w:rPr>
                <w:sz w:val="23"/>
                <w:szCs w:val="23"/>
                <w:color w:val="auto"/>
              </w:rPr>
            </w:pPr>
          </w:p>
        </w:tc>
        <w:tc>
          <w:tcPr>
            <w:tcW w:w="1700" w:type="dxa"/>
            <w:vAlign w:val="bottom"/>
          </w:tcPr>
          <w:p>
            <w:pPr>
              <w:jc w:val="right"/>
              <w:ind w:right="70"/>
              <w:spacing w:after="0"/>
              <w:rPr>
                <w:sz w:val="20"/>
                <w:szCs w:val="20"/>
                <w:color w:val="auto"/>
              </w:rPr>
            </w:pPr>
            <w:r>
              <w:rPr>
                <w:rFonts w:ascii="Arial" w:cs="Arial" w:eastAsia="Arial" w:hAnsi="Arial"/>
                <w:sz w:val="18"/>
                <w:szCs w:val="18"/>
                <w:b w:val="1"/>
                <w:bCs w:val="1"/>
                <w:color w:val="auto"/>
              </w:rPr>
              <w:t>204,109</w:t>
            </w:r>
          </w:p>
        </w:tc>
        <w:tc>
          <w:tcPr>
            <w:tcW w:w="68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295,465</w:t>
            </w:r>
          </w:p>
        </w:tc>
        <w:tc>
          <w:tcPr>
            <w:tcW w:w="0" w:type="dxa"/>
            <w:vAlign w:val="bottom"/>
          </w:tcPr>
          <w:p>
            <w:pPr>
              <w:spacing w:after="0"/>
              <w:rPr>
                <w:sz w:val="1"/>
                <w:szCs w:val="1"/>
                <w:color w:val="auto"/>
              </w:rPr>
            </w:pPr>
          </w:p>
        </w:tc>
      </w:tr>
      <w:tr>
        <w:trPr>
          <w:trHeight w:val="270"/>
        </w:trPr>
        <w:tc>
          <w:tcPr>
            <w:tcW w:w="6600" w:type="dxa"/>
            <w:vAlign w:val="bottom"/>
          </w:tcPr>
          <w:p>
            <w:pPr>
              <w:ind w:left="240"/>
              <w:spacing w:after="0"/>
              <w:rPr>
                <w:sz w:val="20"/>
                <w:szCs w:val="20"/>
                <w:color w:val="auto"/>
              </w:rPr>
            </w:pPr>
            <w:r>
              <w:rPr>
                <w:rFonts w:ascii="Arial" w:cs="Arial" w:eastAsia="Arial" w:hAnsi="Arial"/>
                <w:sz w:val="18"/>
                <w:szCs w:val="18"/>
                <w:color w:val="auto"/>
              </w:rPr>
              <w:t>Short-term debt</w:t>
            </w:r>
          </w:p>
        </w:tc>
        <w:tc>
          <w:tcPr>
            <w:tcW w:w="600" w:type="dxa"/>
            <w:vAlign w:val="bottom"/>
          </w:tcPr>
          <w:p>
            <w:pPr>
              <w:spacing w:after="0"/>
              <w:rPr>
                <w:sz w:val="23"/>
                <w:szCs w:val="23"/>
                <w:color w:val="auto"/>
              </w:rPr>
            </w:pPr>
          </w:p>
        </w:tc>
        <w:tc>
          <w:tcPr>
            <w:tcW w:w="1700" w:type="dxa"/>
            <w:vAlign w:val="bottom"/>
          </w:tcPr>
          <w:p>
            <w:pPr>
              <w:jc w:val="right"/>
              <w:ind w:right="70"/>
              <w:spacing w:after="0"/>
              <w:rPr>
                <w:sz w:val="20"/>
                <w:szCs w:val="20"/>
                <w:color w:val="auto"/>
              </w:rPr>
            </w:pPr>
            <w:r>
              <w:rPr>
                <w:rFonts w:ascii="Arial" w:cs="Arial" w:eastAsia="Arial" w:hAnsi="Arial"/>
                <w:sz w:val="18"/>
                <w:szCs w:val="18"/>
                <w:b w:val="1"/>
                <w:bCs w:val="1"/>
                <w:color w:val="auto"/>
              </w:rPr>
              <w:t>802,507</w:t>
            </w:r>
          </w:p>
        </w:tc>
        <w:tc>
          <w:tcPr>
            <w:tcW w:w="68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600" w:type="dxa"/>
            <w:vAlign w:val="bottom"/>
          </w:tcPr>
          <w:p>
            <w:pPr>
              <w:ind w:left="500"/>
              <w:spacing w:after="0"/>
              <w:rPr>
                <w:sz w:val="20"/>
                <w:szCs w:val="20"/>
                <w:color w:val="auto"/>
              </w:rPr>
            </w:pPr>
            <w:r>
              <w:rPr>
                <w:rFonts w:ascii="Arial" w:cs="Arial" w:eastAsia="Arial" w:hAnsi="Arial"/>
                <w:sz w:val="18"/>
                <w:szCs w:val="18"/>
                <w:color w:val="auto"/>
              </w:rPr>
              <w:t>Total current liabilities</w:t>
            </w:r>
          </w:p>
        </w:tc>
        <w:tc>
          <w:tcPr>
            <w:tcW w:w="600" w:type="dxa"/>
            <w:vAlign w:val="bottom"/>
          </w:tcPr>
          <w:p>
            <w:pPr>
              <w:spacing w:after="0"/>
              <w:rPr>
                <w:sz w:val="20"/>
                <w:szCs w:val="20"/>
                <w:color w:val="auto"/>
              </w:rPr>
            </w:pPr>
          </w:p>
        </w:tc>
        <w:tc>
          <w:tcPr>
            <w:tcW w:w="1700" w:type="dxa"/>
            <w:vAlign w:val="bottom"/>
          </w:tcPr>
          <w:p>
            <w:pPr>
              <w:jc w:val="right"/>
              <w:ind w:right="70"/>
              <w:spacing w:after="0"/>
              <w:rPr>
                <w:sz w:val="20"/>
                <w:szCs w:val="20"/>
                <w:color w:val="auto"/>
              </w:rPr>
            </w:pPr>
            <w:r>
              <w:rPr>
                <w:rFonts w:ascii="Arial" w:cs="Arial" w:eastAsia="Arial" w:hAnsi="Arial"/>
                <w:sz w:val="18"/>
                <w:szCs w:val="18"/>
                <w:b w:val="1"/>
                <w:bCs w:val="1"/>
                <w:color w:val="auto"/>
              </w:rPr>
              <w:t>3,153,072</w:t>
            </w:r>
          </w:p>
        </w:tc>
        <w:tc>
          <w:tcPr>
            <w:tcW w:w="68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2,679,408</w:t>
            </w:r>
          </w:p>
        </w:tc>
        <w:tc>
          <w:tcPr>
            <w:tcW w:w="0" w:type="dxa"/>
            <w:vAlign w:val="bottom"/>
          </w:tcPr>
          <w:p>
            <w:pPr>
              <w:spacing w:after="0"/>
              <w:rPr>
                <w:sz w:val="1"/>
                <w:szCs w:val="1"/>
                <w:color w:val="auto"/>
              </w:rPr>
            </w:pPr>
          </w:p>
        </w:tc>
      </w:tr>
      <w:tr>
        <w:trPr>
          <w:trHeight w:val="540"/>
        </w:trPr>
        <w:tc>
          <w:tcPr>
            <w:tcW w:w="660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600" w:type="dxa"/>
            <w:vAlign w:val="bottom"/>
          </w:tcPr>
          <w:p>
            <w:pPr>
              <w:spacing w:after="0"/>
              <w:rPr>
                <w:sz w:val="24"/>
                <w:szCs w:val="24"/>
                <w:color w:val="auto"/>
              </w:rPr>
            </w:pPr>
          </w:p>
        </w:tc>
        <w:tc>
          <w:tcPr>
            <w:tcW w:w="1700" w:type="dxa"/>
            <w:vAlign w:val="bottom"/>
          </w:tcPr>
          <w:p>
            <w:pPr>
              <w:jc w:val="right"/>
              <w:ind w:right="70"/>
              <w:spacing w:after="0"/>
              <w:rPr>
                <w:sz w:val="20"/>
                <w:szCs w:val="20"/>
                <w:color w:val="auto"/>
              </w:rPr>
            </w:pPr>
            <w:r>
              <w:rPr>
                <w:rFonts w:ascii="Arial" w:cs="Arial" w:eastAsia="Arial" w:hAnsi="Arial"/>
                <w:sz w:val="18"/>
                <w:szCs w:val="18"/>
                <w:b w:val="1"/>
                <w:bCs w:val="1"/>
                <w:color w:val="auto"/>
              </w:rPr>
              <w:t>2,286,295</w:t>
            </w:r>
          </w:p>
        </w:tc>
        <w:tc>
          <w:tcPr>
            <w:tcW w:w="68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312,665</w:t>
            </w:r>
          </w:p>
        </w:tc>
        <w:tc>
          <w:tcPr>
            <w:tcW w:w="0" w:type="dxa"/>
            <w:vAlign w:val="bottom"/>
          </w:tcPr>
          <w:p>
            <w:pPr>
              <w:spacing w:after="0"/>
              <w:rPr>
                <w:sz w:val="1"/>
                <w:szCs w:val="1"/>
                <w:color w:val="auto"/>
              </w:rPr>
            </w:pPr>
          </w:p>
        </w:tc>
      </w:tr>
      <w:tr>
        <w:trPr>
          <w:trHeight w:val="270"/>
        </w:trPr>
        <w:tc>
          <w:tcPr>
            <w:tcW w:w="6600" w:type="dxa"/>
            <w:vAlign w:val="bottom"/>
          </w:tcPr>
          <w:p>
            <w:pPr>
              <w:ind w:left="20"/>
              <w:spacing w:after="0"/>
              <w:rPr>
                <w:sz w:val="20"/>
                <w:szCs w:val="20"/>
                <w:color w:val="auto"/>
              </w:rPr>
            </w:pPr>
            <w:r>
              <w:rPr>
                <w:rFonts w:ascii="Arial" w:cs="Arial" w:eastAsia="Arial" w:hAnsi="Arial"/>
                <w:sz w:val="18"/>
                <w:szCs w:val="18"/>
                <w:color w:val="auto"/>
              </w:rPr>
              <w:t>Non-current operating lease liabilities</w:t>
            </w:r>
          </w:p>
        </w:tc>
        <w:tc>
          <w:tcPr>
            <w:tcW w:w="600" w:type="dxa"/>
            <w:vAlign w:val="bottom"/>
          </w:tcPr>
          <w:p>
            <w:pPr>
              <w:spacing w:after="0"/>
              <w:rPr>
                <w:sz w:val="23"/>
                <w:szCs w:val="23"/>
                <w:color w:val="auto"/>
              </w:rPr>
            </w:pPr>
          </w:p>
        </w:tc>
        <w:tc>
          <w:tcPr>
            <w:tcW w:w="1700" w:type="dxa"/>
            <w:vAlign w:val="bottom"/>
          </w:tcPr>
          <w:p>
            <w:pPr>
              <w:jc w:val="right"/>
              <w:ind w:right="70"/>
              <w:spacing w:after="0"/>
              <w:rPr>
                <w:sz w:val="20"/>
                <w:szCs w:val="20"/>
                <w:color w:val="auto"/>
              </w:rPr>
            </w:pPr>
            <w:r>
              <w:rPr>
                <w:rFonts w:ascii="Arial" w:cs="Arial" w:eastAsia="Arial" w:hAnsi="Arial"/>
                <w:sz w:val="18"/>
                <w:szCs w:val="18"/>
                <w:b w:val="1"/>
                <w:bCs w:val="1"/>
                <w:color w:val="auto"/>
              </w:rPr>
              <w:t>2,601,254</w:t>
            </w:r>
          </w:p>
        </w:tc>
        <w:tc>
          <w:tcPr>
            <w:tcW w:w="68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2,496,230</w:t>
            </w:r>
          </w:p>
        </w:tc>
        <w:tc>
          <w:tcPr>
            <w:tcW w:w="0" w:type="dxa"/>
            <w:vAlign w:val="bottom"/>
          </w:tcPr>
          <w:p>
            <w:pPr>
              <w:spacing w:after="0"/>
              <w:rPr>
                <w:sz w:val="1"/>
                <w:szCs w:val="1"/>
                <w:color w:val="auto"/>
              </w:rPr>
            </w:pPr>
          </w:p>
        </w:tc>
      </w:tr>
      <w:tr>
        <w:trPr>
          <w:trHeight w:val="270"/>
        </w:trPr>
        <w:tc>
          <w:tcPr>
            <w:tcW w:w="6600" w:type="dxa"/>
            <w:vAlign w:val="bottom"/>
          </w:tcPr>
          <w:p>
            <w:pPr>
              <w:ind w:left="20"/>
              <w:spacing w:after="0"/>
              <w:rPr>
                <w:sz w:val="20"/>
                <w:szCs w:val="20"/>
                <w:color w:val="auto"/>
              </w:rPr>
            </w:pPr>
            <w:r>
              <w:rPr>
                <w:rFonts w:ascii="Arial" w:cs="Arial" w:eastAsia="Arial" w:hAnsi="Arial"/>
                <w:sz w:val="18"/>
                <w:szCs w:val="18"/>
                <w:color w:val="auto"/>
              </w:rPr>
              <w:t>Other long-term liabilities</w:t>
            </w:r>
          </w:p>
        </w:tc>
        <w:tc>
          <w:tcPr>
            <w:tcW w:w="600" w:type="dxa"/>
            <w:vAlign w:val="bottom"/>
          </w:tcPr>
          <w:p>
            <w:pPr>
              <w:spacing w:after="0"/>
              <w:rPr>
                <w:sz w:val="23"/>
                <w:szCs w:val="23"/>
                <w:color w:val="auto"/>
              </w:rPr>
            </w:pPr>
          </w:p>
        </w:tc>
        <w:tc>
          <w:tcPr>
            <w:tcW w:w="1700" w:type="dxa"/>
            <w:vAlign w:val="bottom"/>
          </w:tcPr>
          <w:p>
            <w:pPr>
              <w:jc w:val="right"/>
              <w:ind w:right="70"/>
              <w:spacing w:after="0"/>
              <w:rPr>
                <w:sz w:val="20"/>
                <w:szCs w:val="20"/>
                <w:color w:val="auto"/>
              </w:rPr>
            </w:pPr>
            <w:r>
              <w:rPr>
                <w:rFonts w:ascii="Arial" w:cs="Arial" w:eastAsia="Arial" w:hAnsi="Arial"/>
                <w:sz w:val="18"/>
                <w:szCs w:val="18"/>
                <w:b w:val="1"/>
                <w:bCs w:val="1"/>
                <w:color w:val="auto"/>
              </w:rPr>
              <w:t>258,869</w:t>
            </w:r>
          </w:p>
        </w:tc>
        <w:tc>
          <w:tcPr>
            <w:tcW w:w="68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227,842</w:t>
            </w:r>
          </w:p>
        </w:tc>
        <w:tc>
          <w:tcPr>
            <w:tcW w:w="0" w:type="dxa"/>
            <w:vAlign w:val="bottom"/>
          </w:tcPr>
          <w:p>
            <w:pPr>
              <w:spacing w:after="0"/>
              <w:rPr>
                <w:sz w:val="1"/>
                <w:szCs w:val="1"/>
                <w:color w:val="auto"/>
              </w:rPr>
            </w:pPr>
          </w:p>
        </w:tc>
      </w:tr>
      <w:tr>
        <w:trPr>
          <w:trHeight w:val="270"/>
        </w:trPr>
        <w:tc>
          <w:tcPr>
            <w:tcW w:w="6600" w:type="dxa"/>
            <w:vAlign w:val="bottom"/>
          </w:tcPr>
          <w:p>
            <w:pPr>
              <w:ind w:left="20"/>
              <w:spacing w:after="0"/>
              <w:rPr>
                <w:sz w:val="20"/>
                <w:szCs w:val="20"/>
                <w:color w:val="auto"/>
              </w:rPr>
            </w:pPr>
            <w:r>
              <w:rPr>
                <w:rFonts w:ascii="Arial" w:cs="Arial" w:eastAsia="Arial" w:hAnsi="Arial"/>
                <w:sz w:val="18"/>
                <w:szCs w:val="18"/>
                <w:color w:val="auto"/>
              </w:rPr>
              <w:t>Deferred income taxes</w:t>
            </w:r>
          </w:p>
        </w:tc>
        <w:tc>
          <w:tcPr>
            <w:tcW w:w="600" w:type="dxa"/>
            <w:vAlign w:val="bottom"/>
          </w:tcPr>
          <w:p>
            <w:pPr>
              <w:spacing w:after="0"/>
              <w:rPr>
                <w:sz w:val="23"/>
                <w:szCs w:val="23"/>
                <w:color w:val="auto"/>
              </w:rPr>
            </w:pPr>
          </w:p>
        </w:tc>
        <w:tc>
          <w:tcPr>
            <w:tcW w:w="1700" w:type="dxa"/>
            <w:vAlign w:val="bottom"/>
          </w:tcPr>
          <w:p>
            <w:pPr>
              <w:jc w:val="right"/>
              <w:ind w:right="70"/>
              <w:spacing w:after="0"/>
              <w:rPr>
                <w:sz w:val="20"/>
                <w:szCs w:val="20"/>
                <w:color w:val="auto"/>
              </w:rPr>
            </w:pPr>
            <w:r>
              <w:rPr>
                <w:rFonts w:ascii="Arial" w:cs="Arial" w:eastAsia="Arial" w:hAnsi="Arial"/>
                <w:sz w:val="18"/>
                <w:szCs w:val="18"/>
                <w:b w:val="1"/>
                <w:bCs w:val="1"/>
                <w:color w:val="auto"/>
              </w:rPr>
              <w:t>155,556</w:t>
            </w:r>
          </w:p>
        </w:tc>
        <w:tc>
          <w:tcPr>
            <w:tcW w:w="68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139,538</w:t>
            </w:r>
          </w:p>
        </w:tc>
        <w:tc>
          <w:tcPr>
            <w:tcW w:w="0" w:type="dxa"/>
            <w:vAlign w:val="bottom"/>
          </w:tcPr>
          <w:p>
            <w:pPr>
              <w:spacing w:after="0"/>
              <w:rPr>
                <w:sz w:val="1"/>
                <w:szCs w:val="1"/>
                <w:color w:val="auto"/>
              </w:rPr>
            </w:pPr>
          </w:p>
        </w:tc>
      </w:tr>
      <w:tr>
        <w:trPr>
          <w:trHeight w:val="540"/>
        </w:trPr>
        <w:tc>
          <w:tcPr>
            <w:tcW w:w="6600" w:type="dxa"/>
            <w:vAlign w:val="bottom"/>
          </w:tcPr>
          <w:p>
            <w:pPr>
              <w:ind w:left="20"/>
              <w:spacing w:after="0"/>
              <w:rPr>
                <w:sz w:val="20"/>
                <w:szCs w:val="20"/>
                <w:color w:val="auto"/>
              </w:rPr>
            </w:pPr>
            <w:r>
              <w:rPr>
                <w:rFonts w:ascii="Arial" w:cs="Arial" w:eastAsia="Arial" w:hAnsi="Arial"/>
                <w:sz w:val="18"/>
                <w:szCs w:val="18"/>
                <w:color w:val="auto"/>
              </w:rPr>
              <w:t>Commitments and contingencies</w:t>
            </w:r>
          </w:p>
        </w:tc>
        <w:tc>
          <w:tcPr>
            <w:tcW w:w="6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6600" w:type="dxa"/>
            <w:vAlign w:val="bottom"/>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600" w:type="dxa"/>
            <w:vAlign w:val="bottom"/>
          </w:tcPr>
          <w:p>
            <w:pPr>
              <w:spacing w:after="0"/>
              <w:rPr>
                <w:sz w:val="24"/>
                <w:szCs w:val="24"/>
                <w:color w:val="auto"/>
              </w:rPr>
            </w:pPr>
          </w:p>
        </w:tc>
        <w:tc>
          <w:tcPr>
            <w:tcW w:w="1700" w:type="dxa"/>
            <w:vAlign w:val="bottom"/>
          </w:tcPr>
          <w:p>
            <w:pPr>
              <w:jc w:val="right"/>
              <w:ind w:right="70"/>
              <w:spacing w:after="0"/>
              <w:rPr>
                <w:sz w:val="20"/>
                <w:szCs w:val="20"/>
                <w:color w:val="auto"/>
              </w:rPr>
            </w:pPr>
            <w:r>
              <w:rPr>
                <w:rFonts w:ascii="Arial" w:cs="Arial" w:eastAsia="Arial" w:hAnsi="Arial"/>
                <w:sz w:val="18"/>
                <w:szCs w:val="18"/>
                <w:b w:val="1"/>
                <w:bCs w:val="1"/>
                <w:color w:val="auto"/>
              </w:rPr>
              <w:t>2,867,199</w:t>
            </w:r>
          </w:p>
        </w:tc>
        <w:tc>
          <w:tcPr>
            <w:tcW w:w="68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3,296,264</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6600" w:type="dxa"/>
            <w:vAlign w:val="bottom"/>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6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w w:val="99"/>
              </w:rPr>
              <w:t>$</w:t>
            </w:r>
          </w:p>
        </w:tc>
        <w:tc>
          <w:tcPr>
            <w:tcW w:w="17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11,322,245</w:t>
            </w:r>
          </w:p>
        </w:tc>
        <w:tc>
          <w:tcPr>
            <w:tcW w:w="6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9,151,947</w:t>
            </w:r>
          </w:p>
        </w:tc>
        <w:tc>
          <w:tcPr>
            <w:tcW w:w="0" w:type="dxa"/>
            <w:vAlign w:val="bottom"/>
          </w:tcPr>
          <w:p>
            <w:pPr>
              <w:spacing w:after="0"/>
              <w:rPr>
                <w:sz w:val="1"/>
                <w:szCs w:val="1"/>
                <w:color w:val="auto"/>
              </w:rPr>
            </w:pPr>
          </w:p>
        </w:tc>
      </w:tr>
      <w:tr>
        <w:trPr>
          <w:trHeight w:val="21"/>
        </w:trPr>
        <w:tc>
          <w:tcPr>
            <w:tcW w:w="66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6"/>
        </w:trPr>
        <w:tc>
          <w:tcPr>
            <w:tcW w:w="66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20"/>
          </w:cols>
          <w:pgMar w:left="340" w:top="1440" w:right="339" w:bottom="1440" w:gutter="0" w:footer="0" w:header="0"/>
        </w:sectPr>
      </w:pPr>
    </w:p>
    <w:bookmarkStart w:id="7" w:name="page8"/>
    <w:bookmarkEnd w:id="7"/>
    <w:p>
      <w:pPr>
        <w:jc w:val="center"/>
        <w:ind w:right="40"/>
        <w:spacing w:after="0"/>
        <w:rPr>
          <w:sz w:val="20"/>
          <w:szCs w:val="20"/>
          <w:color w:val="auto"/>
        </w:rPr>
      </w:pPr>
      <w:r>
        <w:rPr>
          <w:rFonts w:ascii="Arial" w:cs="Arial" w:eastAsia="Arial" w:hAnsi="Arial"/>
          <w:sz w:val="18"/>
          <w:szCs w:val="18"/>
          <w:b w:val="1"/>
          <w:bCs w:val="1"/>
          <w:color w:val="auto"/>
        </w:rPr>
        <w:t>Ross Stores, Inc.</w:t>
      </w:r>
    </w:p>
    <w:p>
      <w:pPr>
        <w:spacing w:after="0" w:line="6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60" w:type="dxa"/>
            <w:vAlign w:val="bottom"/>
            <w:gridSpan w:val="2"/>
          </w:tcPr>
          <w:p>
            <w:pPr>
              <w:jc w:val="right"/>
              <w:spacing w:after="0"/>
              <w:rPr>
                <w:sz w:val="20"/>
                <w:szCs w:val="20"/>
                <w:color w:val="auto"/>
              </w:rPr>
            </w:pPr>
            <w:r>
              <w:rPr>
                <w:rFonts w:ascii="Arial" w:cs="Arial" w:eastAsia="Arial" w:hAnsi="Arial"/>
                <w:sz w:val="18"/>
                <w:szCs w:val="18"/>
                <w:b w:val="1"/>
                <w:bCs w:val="1"/>
                <w:color w:val="auto"/>
              </w:rPr>
              <w:t>Six Months Ended</w:t>
            </w: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3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380" w:type="dxa"/>
            <w:vAlign w:val="bottom"/>
          </w:tcPr>
          <w:p>
            <w:pPr>
              <w:ind w:left="20"/>
              <w:spacing w:after="0"/>
              <w:rPr>
                <w:sz w:val="20"/>
                <w:szCs w:val="20"/>
                <w:color w:val="auto"/>
              </w:rPr>
            </w:pPr>
            <w:r>
              <w:rPr>
                <w:rFonts w:ascii="Arial" w:cs="Arial" w:eastAsia="Arial" w:hAnsi="Arial"/>
                <w:sz w:val="18"/>
                <w:szCs w:val="18"/>
                <w:color w:val="auto"/>
              </w:rPr>
              <w:t>($000, unaudited)</w:t>
            </w:r>
          </w:p>
        </w:tc>
        <w:tc>
          <w:tcPr>
            <w:tcW w:w="3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August 1, 2020</w:t>
            </w:r>
          </w:p>
        </w:tc>
        <w:tc>
          <w:tcPr>
            <w:tcW w:w="7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w w:val="92"/>
              </w:rPr>
              <w:t>August 3, 2019</w:t>
            </w:r>
          </w:p>
        </w:tc>
        <w:tc>
          <w:tcPr>
            <w:tcW w:w="0" w:type="dxa"/>
            <w:vAlign w:val="bottom"/>
          </w:tcPr>
          <w:p>
            <w:pPr>
              <w:spacing w:after="0"/>
              <w:rPr>
                <w:sz w:val="1"/>
                <w:szCs w:val="1"/>
                <w:color w:val="auto"/>
              </w:rPr>
            </w:pPr>
          </w:p>
        </w:tc>
      </w:tr>
      <w:tr>
        <w:trPr>
          <w:trHeight w:val="27"/>
        </w:trPr>
        <w:tc>
          <w:tcPr>
            <w:tcW w:w="73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26"/>
        </w:trPr>
        <w:tc>
          <w:tcPr>
            <w:tcW w:w="7380" w:type="dxa"/>
            <w:vAlign w:val="bottom"/>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3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380" w:type="dxa"/>
            <w:vAlign w:val="bottom"/>
          </w:tcPr>
          <w:p>
            <w:pPr>
              <w:ind w:left="20"/>
              <w:spacing w:after="0"/>
              <w:rPr>
                <w:sz w:val="20"/>
                <w:szCs w:val="20"/>
                <w:color w:val="auto"/>
              </w:rPr>
            </w:pPr>
            <w:r>
              <w:rPr>
                <w:rFonts w:ascii="Arial" w:cs="Arial" w:eastAsia="Arial" w:hAnsi="Arial"/>
                <w:sz w:val="18"/>
                <w:szCs w:val="18"/>
                <w:color w:val="auto"/>
              </w:rPr>
              <w:t>Net (loss) earnings</w:t>
            </w:r>
          </w:p>
        </w:tc>
        <w:tc>
          <w:tcPr>
            <w:tcW w:w="380" w:type="dxa"/>
            <w:vAlign w:val="bottom"/>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1500" w:type="dxa"/>
            <w:vAlign w:val="bottom"/>
          </w:tcPr>
          <w:p>
            <w:pPr>
              <w:jc w:val="right"/>
              <w:ind w:right="10"/>
              <w:spacing w:after="0"/>
              <w:rPr>
                <w:sz w:val="20"/>
                <w:szCs w:val="20"/>
                <w:color w:val="auto"/>
              </w:rPr>
            </w:pPr>
            <w:r>
              <w:rPr>
                <w:rFonts w:ascii="Arial" w:cs="Arial" w:eastAsia="Arial" w:hAnsi="Arial"/>
                <w:sz w:val="18"/>
                <w:szCs w:val="18"/>
                <w:b w:val="1"/>
                <w:bCs w:val="1"/>
                <w:color w:val="auto"/>
              </w:rPr>
              <w:t>(283,795)</w:t>
            </w:r>
          </w:p>
        </w:tc>
        <w:tc>
          <w:tcPr>
            <w:tcW w:w="76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833,863</w:t>
            </w:r>
          </w:p>
        </w:tc>
        <w:tc>
          <w:tcPr>
            <w:tcW w:w="0" w:type="dxa"/>
            <w:vAlign w:val="bottom"/>
          </w:tcPr>
          <w:p>
            <w:pPr>
              <w:spacing w:after="0"/>
              <w:rPr>
                <w:sz w:val="1"/>
                <w:szCs w:val="1"/>
                <w:color w:val="auto"/>
              </w:rPr>
            </w:pPr>
          </w:p>
        </w:tc>
      </w:tr>
      <w:tr>
        <w:trPr>
          <w:trHeight w:val="270"/>
        </w:trPr>
        <w:tc>
          <w:tcPr>
            <w:tcW w:w="7380" w:type="dxa"/>
            <w:vAlign w:val="bottom"/>
          </w:tcPr>
          <w:p>
            <w:pPr>
              <w:ind w:left="20"/>
              <w:spacing w:after="0"/>
              <w:rPr>
                <w:sz w:val="20"/>
                <w:szCs w:val="20"/>
                <w:color w:val="auto"/>
              </w:rPr>
            </w:pPr>
            <w:r>
              <w:rPr>
                <w:rFonts w:ascii="Arial" w:cs="Arial" w:eastAsia="Arial" w:hAnsi="Arial"/>
                <w:sz w:val="18"/>
                <w:szCs w:val="18"/>
                <w:color w:val="auto"/>
              </w:rPr>
              <w:t>Adjustments to reconcile net (loss) earnings to net cash provided</w:t>
            </w:r>
          </w:p>
        </w:tc>
        <w:tc>
          <w:tcPr>
            <w:tcW w:w="3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380" w:type="dxa"/>
            <w:vAlign w:val="bottom"/>
          </w:tcPr>
          <w:p>
            <w:pPr>
              <w:ind w:left="20"/>
              <w:spacing w:after="0"/>
              <w:rPr>
                <w:sz w:val="20"/>
                <w:szCs w:val="20"/>
                <w:color w:val="auto"/>
              </w:rPr>
            </w:pPr>
            <w:r>
              <w:rPr>
                <w:rFonts w:ascii="Arial" w:cs="Arial" w:eastAsia="Arial" w:hAnsi="Arial"/>
                <w:sz w:val="18"/>
                <w:szCs w:val="18"/>
                <w:color w:val="auto"/>
              </w:rPr>
              <w:t>by operating activities:</w:t>
            </w:r>
          </w:p>
        </w:tc>
        <w:tc>
          <w:tcPr>
            <w:tcW w:w="3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38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380" w:type="dxa"/>
            <w:vAlign w:val="bottom"/>
          </w:tcPr>
          <w:p>
            <w:pPr>
              <w:spacing w:after="0"/>
              <w:rPr>
                <w:sz w:val="23"/>
                <w:szCs w:val="23"/>
                <w:color w:val="auto"/>
              </w:rPr>
            </w:pPr>
          </w:p>
        </w:tc>
        <w:tc>
          <w:tcPr>
            <w:tcW w:w="1500" w:type="dxa"/>
            <w:vAlign w:val="bottom"/>
          </w:tcPr>
          <w:p>
            <w:pPr>
              <w:jc w:val="right"/>
              <w:ind w:right="50"/>
              <w:spacing w:after="0"/>
              <w:rPr>
                <w:sz w:val="20"/>
                <w:szCs w:val="20"/>
                <w:color w:val="auto"/>
              </w:rPr>
            </w:pPr>
            <w:r>
              <w:rPr>
                <w:rFonts w:ascii="Arial" w:cs="Arial" w:eastAsia="Arial" w:hAnsi="Arial"/>
                <w:sz w:val="18"/>
                <w:szCs w:val="18"/>
                <w:b w:val="1"/>
                <w:bCs w:val="1"/>
                <w:color w:val="auto"/>
              </w:rPr>
              <w:t>179,626</w:t>
            </w:r>
          </w:p>
        </w:tc>
        <w:tc>
          <w:tcPr>
            <w:tcW w:w="76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166,898</w:t>
            </w:r>
          </w:p>
        </w:tc>
        <w:tc>
          <w:tcPr>
            <w:tcW w:w="0" w:type="dxa"/>
            <w:vAlign w:val="bottom"/>
          </w:tcPr>
          <w:p>
            <w:pPr>
              <w:spacing w:after="0"/>
              <w:rPr>
                <w:sz w:val="1"/>
                <w:szCs w:val="1"/>
                <w:color w:val="auto"/>
              </w:rPr>
            </w:pPr>
          </w:p>
        </w:tc>
      </w:tr>
      <w:tr>
        <w:trPr>
          <w:trHeight w:val="270"/>
        </w:trPr>
        <w:tc>
          <w:tcPr>
            <w:tcW w:w="7380" w:type="dxa"/>
            <w:vAlign w:val="bottom"/>
          </w:tcPr>
          <w:p>
            <w:pPr>
              <w:ind w:left="220"/>
              <w:spacing w:after="0"/>
              <w:rPr>
                <w:sz w:val="20"/>
                <w:szCs w:val="20"/>
                <w:color w:val="auto"/>
              </w:rPr>
            </w:pPr>
            <w:r>
              <w:rPr>
                <w:rFonts w:ascii="Arial" w:cs="Arial" w:eastAsia="Arial" w:hAnsi="Arial"/>
                <w:sz w:val="18"/>
                <w:szCs w:val="18"/>
                <w:color w:val="auto"/>
              </w:rPr>
              <w:t>Stock-based compensation</w:t>
            </w:r>
          </w:p>
        </w:tc>
        <w:tc>
          <w:tcPr>
            <w:tcW w:w="380" w:type="dxa"/>
            <w:vAlign w:val="bottom"/>
          </w:tcPr>
          <w:p>
            <w:pPr>
              <w:spacing w:after="0"/>
              <w:rPr>
                <w:sz w:val="23"/>
                <w:szCs w:val="23"/>
                <w:color w:val="auto"/>
              </w:rPr>
            </w:pPr>
          </w:p>
        </w:tc>
        <w:tc>
          <w:tcPr>
            <w:tcW w:w="1500" w:type="dxa"/>
            <w:vAlign w:val="bottom"/>
          </w:tcPr>
          <w:p>
            <w:pPr>
              <w:jc w:val="right"/>
              <w:ind w:right="50"/>
              <w:spacing w:after="0"/>
              <w:rPr>
                <w:sz w:val="20"/>
                <w:szCs w:val="20"/>
                <w:color w:val="auto"/>
              </w:rPr>
            </w:pPr>
            <w:r>
              <w:rPr>
                <w:rFonts w:ascii="Arial" w:cs="Arial" w:eastAsia="Arial" w:hAnsi="Arial"/>
                <w:sz w:val="18"/>
                <w:szCs w:val="18"/>
                <w:b w:val="1"/>
                <w:bCs w:val="1"/>
                <w:color w:val="auto"/>
              </w:rPr>
              <w:t>46,897</w:t>
            </w:r>
          </w:p>
        </w:tc>
        <w:tc>
          <w:tcPr>
            <w:tcW w:w="76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44,613</w:t>
            </w:r>
          </w:p>
        </w:tc>
        <w:tc>
          <w:tcPr>
            <w:tcW w:w="0" w:type="dxa"/>
            <w:vAlign w:val="bottom"/>
          </w:tcPr>
          <w:p>
            <w:pPr>
              <w:spacing w:after="0"/>
              <w:rPr>
                <w:sz w:val="1"/>
                <w:szCs w:val="1"/>
                <w:color w:val="auto"/>
              </w:rPr>
            </w:pPr>
          </w:p>
        </w:tc>
      </w:tr>
      <w:tr>
        <w:trPr>
          <w:trHeight w:val="270"/>
        </w:trPr>
        <w:tc>
          <w:tcPr>
            <w:tcW w:w="7380" w:type="dxa"/>
            <w:vAlign w:val="bottom"/>
          </w:tcPr>
          <w:p>
            <w:pPr>
              <w:ind w:left="220"/>
              <w:spacing w:after="0"/>
              <w:rPr>
                <w:sz w:val="20"/>
                <w:szCs w:val="20"/>
                <w:color w:val="auto"/>
              </w:rPr>
            </w:pPr>
            <w:r>
              <w:rPr>
                <w:rFonts w:ascii="Arial" w:cs="Arial" w:eastAsia="Arial" w:hAnsi="Arial"/>
                <w:sz w:val="18"/>
                <w:szCs w:val="18"/>
                <w:color w:val="auto"/>
              </w:rPr>
              <w:t>Deferred income taxes</w:t>
            </w:r>
          </w:p>
        </w:tc>
        <w:tc>
          <w:tcPr>
            <w:tcW w:w="380" w:type="dxa"/>
            <w:vAlign w:val="bottom"/>
          </w:tcPr>
          <w:p>
            <w:pPr>
              <w:spacing w:after="0"/>
              <w:rPr>
                <w:sz w:val="23"/>
                <w:szCs w:val="23"/>
                <w:color w:val="auto"/>
              </w:rPr>
            </w:pPr>
          </w:p>
        </w:tc>
        <w:tc>
          <w:tcPr>
            <w:tcW w:w="1500" w:type="dxa"/>
            <w:vAlign w:val="bottom"/>
          </w:tcPr>
          <w:p>
            <w:pPr>
              <w:jc w:val="right"/>
              <w:ind w:right="50"/>
              <w:spacing w:after="0"/>
              <w:rPr>
                <w:sz w:val="20"/>
                <w:szCs w:val="20"/>
                <w:color w:val="auto"/>
              </w:rPr>
            </w:pPr>
            <w:r>
              <w:rPr>
                <w:rFonts w:ascii="Arial" w:cs="Arial" w:eastAsia="Arial" w:hAnsi="Arial"/>
                <w:sz w:val="18"/>
                <w:szCs w:val="18"/>
                <w:b w:val="1"/>
                <w:bCs w:val="1"/>
                <w:color w:val="auto"/>
              </w:rPr>
              <w:t>5,877</w:t>
            </w:r>
          </w:p>
        </w:tc>
        <w:tc>
          <w:tcPr>
            <w:tcW w:w="76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21,868</w:t>
            </w:r>
          </w:p>
        </w:tc>
        <w:tc>
          <w:tcPr>
            <w:tcW w:w="0" w:type="dxa"/>
            <w:vAlign w:val="bottom"/>
          </w:tcPr>
          <w:p>
            <w:pPr>
              <w:spacing w:after="0"/>
              <w:rPr>
                <w:sz w:val="1"/>
                <w:szCs w:val="1"/>
                <w:color w:val="auto"/>
              </w:rPr>
            </w:pPr>
          </w:p>
        </w:tc>
      </w:tr>
      <w:tr>
        <w:trPr>
          <w:trHeight w:val="270"/>
        </w:trPr>
        <w:tc>
          <w:tcPr>
            <w:tcW w:w="7380" w:type="dxa"/>
            <w:vAlign w:val="bottom"/>
          </w:tcPr>
          <w:p>
            <w:pPr>
              <w:ind w:left="220"/>
              <w:spacing w:after="0"/>
              <w:rPr>
                <w:sz w:val="20"/>
                <w:szCs w:val="20"/>
                <w:color w:val="auto"/>
              </w:rPr>
            </w:pPr>
            <w:r>
              <w:rPr>
                <w:rFonts w:ascii="Arial" w:cs="Arial" w:eastAsia="Arial" w:hAnsi="Arial"/>
                <w:sz w:val="18"/>
                <w:szCs w:val="18"/>
                <w:color w:val="auto"/>
              </w:rPr>
              <w:t>Change in assets and liabilities:</w:t>
            </w:r>
          </w:p>
        </w:tc>
        <w:tc>
          <w:tcPr>
            <w:tcW w:w="3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380" w:type="dxa"/>
            <w:vAlign w:val="bottom"/>
          </w:tcPr>
          <w:p>
            <w:pPr>
              <w:ind w:left="440"/>
              <w:spacing w:after="0"/>
              <w:rPr>
                <w:sz w:val="20"/>
                <w:szCs w:val="20"/>
                <w:color w:val="auto"/>
              </w:rPr>
            </w:pPr>
            <w:r>
              <w:rPr>
                <w:rFonts w:ascii="Arial" w:cs="Arial" w:eastAsia="Arial" w:hAnsi="Arial"/>
                <w:sz w:val="18"/>
                <w:szCs w:val="18"/>
                <w:color w:val="auto"/>
              </w:rPr>
              <w:t>Merchandise inventory</w:t>
            </w:r>
          </w:p>
        </w:tc>
        <w:tc>
          <w:tcPr>
            <w:tcW w:w="380" w:type="dxa"/>
            <w:vAlign w:val="bottom"/>
          </w:tcPr>
          <w:p>
            <w:pPr>
              <w:spacing w:after="0"/>
              <w:rPr>
                <w:sz w:val="23"/>
                <w:szCs w:val="23"/>
                <w:color w:val="auto"/>
              </w:rPr>
            </w:pPr>
          </w:p>
        </w:tc>
        <w:tc>
          <w:tcPr>
            <w:tcW w:w="1500" w:type="dxa"/>
            <w:vAlign w:val="bottom"/>
          </w:tcPr>
          <w:p>
            <w:pPr>
              <w:jc w:val="right"/>
              <w:ind w:right="50"/>
              <w:spacing w:after="0"/>
              <w:rPr>
                <w:sz w:val="20"/>
                <w:szCs w:val="20"/>
                <w:color w:val="auto"/>
              </w:rPr>
            </w:pPr>
            <w:r>
              <w:rPr>
                <w:rFonts w:ascii="Arial" w:cs="Arial" w:eastAsia="Arial" w:hAnsi="Arial"/>
                <w:sz w:val="18"/>
                <w:szCs w:val="18"/>
                <w:b w:val="1"/>
                <w:bCs w:val="1"/>
                <w:color w:val="auto"/>
              </w:rPr>
              <w:t>714,356</w:t>
            </w:r>
          </w:p>
        </w:tc>
        <w:tc>
          <w:tcPr>
            <w:tcW w:w="7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(85,427)</w:t>
            </w:r>
          </w:p>
        </w:tc>
        <w:tc>
          <w:tcPr>
            <w:tcW w:w="0" w:type="dxa"/>
            <w:vAlign w:val="bottom"/>
          </w:tcPr>
          <w:p>
            <w:pPr>
              <w:spacing w:after="0"/>
              <w:rPr>
                <w:sz w:val="1"/>
                <w:szCs w:val="1"/>
                <w:color w:val="auto"/>
              </w:rPr>
            </w:pPr>
          </w:p>
        </w:tc>
      </w:tr>
      <w:tr>
        <w:trPr>
          <w:trHeight w:val="270"/>
        </w:trPr>
        <w:tc>
          <w:tcPr>
            <w:tcW w:w="7380" w:type="dxa"/>
            <w:vAlign w:val="bottom"/>
          </w:tcPr>
          <w:p>
            <w:pPr>
              <w:ind w:left="440"/>
              <w:spacing w:after="0"/>
              <w:rPr>
                <w:sz w:val="20"/>
                <w:szCs w:val="20"/>
                <w:color w:val="auto"/>
              </w:rPr>
            </w:pPr>
            <w:r>
              <w:rPr>
                <w:rFonts w:ascii="Arial" w:cs="Arial" w:eastAsia="Arial" w:hAnsi="Arial"/>
                <w:sz w:val="18"/>
                <w:szCs w:val="18"/>
                <w:color w:val="auto"/>
              </w:rPr>
              <w:t>Other current assets</w:t>
            </w:r>
          </w:p>
        </w:tc>
        <w:tc>
          <w:tcPr>
            <w:tcW w:w="380" w:type="dxa"/>
            <w:vAlign w:val="bottom"/>
          </w:tcPr>
          <w:p>
            <w:pPr>
              <w:spacing w:after="0"/>
              <w:rPr>
                <w:sz w:val="23"/>
                <w:szCs w:val="23"/>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b w:val="1"/>
                <w:bCs w:val="1"/>
                <w:color w:val="auto"/>
              </w:rPr>
              <w:t>(51,924)</w:t>
            </w:r>
          </w:p>
        </w:tc>
        <w:tc>
          <w:tcPr>
            <w:tcW w:w="7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(55,309)</w:t>
            </w:r>
          </w:p>
        </w:tc>
        <w:tc>
          <w:tcPr>
            <w:tcW w:w="0" w:type="dxa"/>
            <w:vAlign w:val="bottom"/>
          </w:tcPr>
          <w:p>
            <w:pPr>
              <w:spacing w:after="0"/>
              <w:rPr>
                <w:sz w:val="1"/>
                <w:szCs w:val="1"/>
                <w:color w:val="auto"/>
              </w:rPr>
            </w:pPr>
          </w:p>
        </w:tc>
      </w:tr>
      <w:tr>
        <w:trPr>
          <w:trHeight w:val="270"/>
        </w:trPr>
        <w:tc>
          <w:tcPr>
            <w:tcW w:w="7380" w:type="dxa"/>
            <w:vAlign w:val="bottom"/>
          </w:tcPr>
          <w:p>
            <w:pPr>
              <w:ind w:left="440"/>
              <w:spacing w:after="0"/>
              <w:rPr>
                <w:sz w:val="20"/>
                <w:szCs w:val="20"/>
                <w:color w:val="auto"/>
              </w:rPr>
            </w:pPr>
            <w:r>
              <w:rPr>
                <w:rFonts w:ascii="Arial" w:cs="Arial" w:eastAsia="Arial" w:hAnsi="Arial"/>
                <w:sz w:val="18"/>
                <w:szCs w:val="18"/>
                <w:color w:val="auto"/>
              </w:rPr>
              <w:t>Accounts payable</w:t>
            </w:r>
          </w:p>
        </w:tc>
        <w:tc>
          <w:tcPr>
            <w:tcW w:w="380" w:type="dxa"/>
            <w:vAlign w:val="bottom"/>
          </w:tcPr>
          <w:p>
            <w:pPr>
              <w:spacing w:after="0"/>
              <w:rPr>
                <w:sz w:val="23"/>
                <w:szCs w:val="23"/>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b w:val="1"/>
                <w:bCs w:val="1"/>
                <w:color w:val="auto"/>
              </w:rPr>
              <w:t>(289,710)</w:t>
            </w:r>
          </w:p>
        </w:tc>
        <w:tc>
          <w:tcPr>
            <w:tcW w:w="76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187,050</w:t>
            </w:r>
          </w:p>
        </w:tc>
        <w:tc>
          <w:tcPr>
            <w:tcW w:w="0" w:type="dxa"/>
            <w:vAlign w:val="bottom"/>
          </w:tcPr>
          <w:p>
            <w:pPr>
              <w:spacing w:after="0"/>
              <w:rPr>
                <w:sz w:val="1"/>
                <w:szCs w:val="1"/>
                <w:color w:val="auto"/>
              </w:rPr>
            </w:pPr>
          </w:p>
        </w:tc>
      </w:tr>
      <w:tr>
        <w:trPr>
          <w:trHeight w:val="270"/>
        </w:trPr>
        <w:tc>
          <w:tcPr>
            <w:tcW w:w="7380" w:type="dxa"/>
            <w:vAlign w:val="bottom"/>
          </w:tcPr>
          <w:p>
            <w:pPr>
              <w:ind w:left="440"/>
              <w:spacing w:after="0"/>
              <w:rPr>
                <w:sz w:val="20"/>
                <w:szCs w:val="20"/>
                <w:color w:val="auto"/>
              </w:rPr>
            </w:pPr>
            <w:r>
              <w:rPr>
                <w:rFonts w:ascii="Arial" w:cs="Arial" w:eastAsia="Arial" w:hAnsi="Arial"/>
                <w:sz w:val="18"/>
                <w:szCs w:val="18"/>
                <w:color w:val="auto"/>
              </w:rPr>
              <w:t>Other current liabilities</w:t>
            </w:r>
          </w:p>
        </w:tc>
        <w:tc>
          <w:tcPr>
            <w:tcW w:w="380" w:type="dxa"/>
            <w:vAlign w:val="bottom"/>
          </w:tcPr>
          <w:p>
            <w:pPr>
              <w:spacing w:after="0"/>
              <w:rPr>
                <w:sz w:val="23"/>
                <w:szCs w:val="23"/>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b w:val="1"/>
                <w:bCs w:val="1"/>
                <w:color w:val="auto"/>
              </w:rPr>
              <w:t>(44,671)</w:t>
            </w:r>
          </w:p>
        </w:tc>
        <w:tc>
          <w:tcPr>
            <w:tcW w:w="7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(8,529)</w:t>
            </w:r>
          </w:p>
        </w:tc>
        <w:tc>
          <w:tcPr>
            <w:tcW w:w="0" w:type="dxa"/>
            <w:vAlign w:val="bottom"/>
          </w:tcPr>
          <w:p>
            <w:pPr>
              <w:spacing w:after="0"/>
              <w:rPr>
                <w:sz w:val="1"/>
                <w:szCs w:val="1"/>
                <w:color w:val="auto"/>
              </w:rPr>
            </w:pPr>
          </w:p>
        </w:tc>
      </w:tr>
      <w:tr>
        <w:trPr>
          <w:trHeight w:val="270"/>
        </w:trPr>
        <w:tc>
          <w:tcPr>
            <w:tcW w:w="7380" w:type="dxa"/>
            <w:vAlign w:val="bottom"/>
          </w:tcPr>
          <w:p>
            <w:pPr>
              <w:ind w:left="440"/>
              <w:spacing w:after="0"/>
              <w:rPr>
                <w:sz w:val="20"/>
                <w:szCs w:val="20"/>
                <w:color w:val="auto"/>
              </w:rPr>
            </w:pPr>
            <w:r>
              <w:rPr>
                <w:rFonts w:ascii="Arial" w:cs="Arial" w:eastAsia="Arial" w:hAnsi="Arial"/>
                <w:sz w:val="18"/>
                <w:szCs w:val="18"/>
                <w:color w:val="auto"/>
              </w:rPr>
              <w:t>Income taxes</w:t>
            </w:r>
          </w:p>
        </w:tc>
        <w:tc>
          <w:tcPr>
            <w:tcW w:w="380" w:type="dxa"/>
            <w:vAlign w:val="bottom"/>
          </w:tcPr>
          <w:p>
            <w:pPr>
              <w:spacing w:after="0"/>
              <w:rPr>
                <w:sz w:val="23"/>
                <w:szCs w:val="23"/>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b w:val="1"/>
                <w:bCs w:val="1"/>
                <w:color w:val="auto"/>
              </w:rPr>
              <w:t>(145,001)</w:t>
            </w:r>
          </w:p>
        </w:tc>
        <w:tc>
          <w:tcPr>
            <w:tcW w:w="7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(31,193)</w:t>
            </w:r>
          </w:p>
        </w:tc>
        <w:tc>
          <w:tcPr>
            <w:tcW w:w="0" w:type="dxa"/>
            <w:vAlign w:val="bottom"/>
          </w:tcPr>
          <w:p>
            <w:pPr>
              <w:spacing w:after="0"/>
              <w:rPr>
                <w:sz w:val="1"/>
                <w:szCs w:val="1"/>
                <w:color w:val="auto"/>
              </w:rPr>
            </w:pPr>
          </w:p>
        </w:tc>
      </w:tr>
      <w:tr>
        <w:trPr>
          <w:trHeight w:val="270"/>
        </w:trPr>
        <w:tc>
          <w:tcPr>
            <w:tcW w:w="7380" w:type="dxa"/>
            <w:vAlign w:val="bottom"/>
          </w:tcPr>
          <w:p>
            <w:pPr>
              <w:ind w:left="440"/>
              <w:spacing w:after="0"/>
              <w:rPr>
                <w:sz w:val="20"/>
                <w:szCs w:val="20"/>
                <w:color w:val="auto"/>
              </w:rPr>
            </w:pPr>
            <w:r>
              <w:rPr>
                <w:rFonts w:ascii="Arial" w:cs="Arial" w:eastAsia="Arial" w:hAnsi="Arial"/>
                <w:sz w:val="18"/>
                <w:szCs w:val="18"/>
                <w:color w:val="auto"/>
              </w:rPr>
              <w:t>Operating lease assets and liabilities, net</w:t>
            </w:r>
          </w:p>
        </w:tc>
        <w:tc>
          <w:tcPr>
            <w:tcW w:w="380" w:type="dxa"/>
            <w:vAlign w:val="bottom"/>
          </w:tcPr>
          <w:p>
            <w:pPr>
              <w:spacing w:after="0"/>
              <w:rPr>
                <w:sz w:val="23"/>
                <w:szCs w:val="23"/>
                <w:color w:val="auto"/>
              </w:rPr>
            </w:pPr>
          </w:p>
        </w:tc>
        <w:tc>
          <w:tcPr>
            <w:tcW w:w="1500" w:type="dxa"/>
            <w:vAlign w:val="bottom"/>
          </w:tcPr>
          <w:p>
            <w:pPr>
              <w:jc w:val="right"/>
              <w:ind w:right="50"/>
              <w:spacing w:after="0"/>
              <w:rPr>
                <w:sz w:val="20"/>
                <w:szCs w:val="20"/>
                <w:color w:val="auto"/>
              </w:rPr>
            </w:pPr>
            <w:r>
              <w:rPr>
                <w:rFonts w:ascii="Arial" w:cs="Arial" w:eastAsia="Arial" w:hAnsi="Arial"/>
                <w:sz w:val="18"/>
                <w:szCs w:val="18"/>
                <w:b w:val="1"/>
                <w:bCs w:val="1"/>
                <w:color w:val="auto"/>
              </w:rPr>
              <w:t>5,569</w:t>
            </w:r>
          </w:p>
        </w:tc>
        <w:tc>
          <w:tcPr>
            <w:tcW w:w="76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8,276</w:t>
            </w:r>
          </w:p>
        </w:tc>
        <w:tc>
          <w:tcPr>
            <w:tcW w:w="0" w:type="dxa"/>
            <w:vAlign w:val="bottom"/>
          </w:tcPr>
          <w:p>
            <w:pPr>
              <w:spacing w:after="0"/>
              <w:rPr>
                <w:sz w:val="1"/>
                <w:szCs w:val="1"/>
                <w:color w:val="auto"/>
              </w:rPr>
            </w:pPr>
          </w:p>
        </w:tc>
      </w:tr>
      <w:tr>
        <w:trPr>
          <w:trHeight w:val="270"/>
        </w:trPr>
        <w:tc>
          <w:tcPr>
            <w:tcW w:w="7380" w:type="dxa"/>
            <w:vAlign w:val="bottom"/>
          </w:tcPr>
          <w:p>
            <w:pPr>
              <w:ind w:left="440"/>
              <w:spacing w:after="0"/>
              <w:rPr>
                <w:sz w:val="20"/>
                <w:szCs w:val="20"/>
                <w:color w:val="auto"/>
              </w:rPr>
            </w:pPr>
            <w:r>
              <w:rPr>
                <w:rFonts w:ascii="Arial" w:cs="Arial" w:eastAsia="Arial" w:hAnsi="Arial"/>
                <w:sz w:val="18"/>
                <w:szCs w:val="18"/>
                <w:color w:val="auto"/>
              </w:rPr>
              <w:t>Other long-term, net</w:t>
            </w:r>
          </w:p>
        </w:tc>
        <w:tc>
          <w:tcPr>
            <w:tcW w:w="380" w:type="dxa"/>
            <w:vAlign w:val="bottom"/>
          </w:tcPr>
          <w:p>
            <w:pPr>
              <w:spacing w:after="0"/>
              <w:rPr>
                <w:sz w:val="23"/>
                <w:szCs w:val="23"/>
                <w:color w:val="auto"/>
              </w:rPr>
            </w:pPr>
          </w:p>
        </w:tc>
        <w:tc>
          <w:tcPr>
            <w:tcW w:w="1500" w:type="dxa"/>
            <w:vAlign w:val="bottom"/>
          </w:tcPr>
          <w:p>
            <w:pPr>
              <w:jc w:val="right"/>
              <w:ind w:right="50"/>
              <w:spacing w:after="0"/>
              <w:rPr>
                <w:sz w:val="20"/>
                <w:szCs w:val="20"/>
                <w:color w:val="auto"/>
              </w:rPr>
            </w:pPr>
            <w:r>
              <w:rPr>
                <w:rFonts w:ascii="Arial" w:cs="Arial" w:eastAsia="Arial" w:hAnsi="Arial"/>
                <w:sz w:val="18"/>
                <w:szCs w:val="18"/>
                <w:b w:val="1"/>
                <w:bCs w:val="1"/>
                <w:color w:val="auto"/>
              </w:rPr>
              <w:t>35,197</w:t>
            </w:r>
          </w:p>
        </w:tc>
        <w:tc>
          <w:tcPr>
            <w:tcW w:w="76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1,353</w:t>
            </w:r>
          </w:p>
        </w:tc>
        <w:tc>
          <w:tcPr>
            <w:tcW w:w="0" w:type="dxa"/>
            <w:vAlign w:val="bottom"/>
          </w:tcPr>
          <w:p>
            <w:pPr>
              <w:spacing w:after="0"/>
              <w:rPr>
                <w:sz w:val="1"/>
                <w:szCs w:val="1"/>
                <w:color w:val="auto"/>
              </w:rPr>
            </w:pPr>
          </w:p>
        </w:tc>
      </w:tr>
      <w:tr>
        <w:trPr>
          <w:trHeight w:val="27"/>
        </w:trPr>
        <w:tc>
          <w:tcPr>
            <w:tcW w:w="73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380" w:type="dxa"/>
            <w:vAlign w:val="bottom"/>
          </w:tcPr>
          <w:p>
            <w:pPr>
              <w:ind w:left="440"/>
              <w:spacing w:after="0"/>
              <w:rPr>
                <w:sz w:val="20"/>
                <w:szCs w:val="20"/>
                <w:color w:val="auto"/>
              </w:rPr>
            </w:pPr>
            <w:r>
              <w:rPr>
                <w:rFonts w:ascii="Arial" w:cs="Arial" w:eastAsia="Arial" w:hAnsi="Arial"/>
                <w:sz w:val="18"/>
                <w:szCs w:val="18"/>
                <w:color w:val="auto"/>
              </w:rPr>
              <w:t>Net cash provided by operating activities</w:t>
            </w:r>
          </w:p>
        </w:tc>
        <w:tc>
          <w:tcPr>
            <w:tcW w:w="380" w:type="dxa"/>
            <w:vAlign w:val="bottom"/>
          </w:tcPr>
          <w:p>
            <w:pPr>
              <w:spacing w:after="0"/>
              <w:rPr>
                <w:sz w:val="20"/>
                <w:szCs w:val="20"/>
                <w:color w:val="auto"/>
              </w:rPr>
            </w:pPr>
          </w:p>
        </w:tc>
        <w:tc>
          <w:tcPr>
            <w:tcW w:w="1500" w:type="dxa"/>
            <w:vAlign w:val="bottom"/>
          </w:tcPr>
          <w:p>
            <w:pPr>
              <w:jc w:val="right"/>
              <w:ind w:right="50"/>
              <w:spacing w:after="0"/>
              <w:rPr>
                <w:sz w:val="20"/>
                <w:szCs w:val="20"/>
                <w:color w:val="auto"/>
              </w:rPr>
            </w:pPr>
            <w:r>
              <w:rPr>
                <w:rFonts w:ascii="Arial" w:cs="Arial" w:eastAsia="Arial" w:hAnsi="Arial"/>
                <w:sz w:val="18"/>
                <w:szCs w:val="18"/>
                <w:b w:val="1"/>
                <w:bCs w:val="1"/>
                <w:color w:val="auto"/>
              </w:rPr>
              <w:t>172,421</w:t>
            </w:r>
          </w:p>
        </w:tc>
        <w:tc>
          <w:tcPr>
            <w:tcW w:w="76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1,083,463</w:t>
            </w:r>
          </w:p>
        </w:tc>
        <w:tc>
          <w:tcPr>
            <w:tcW w:w="0" w:type="dxa"/>
            <w:vAlign w:val="bottom"/>
          </w:tcPr>
          <w:p>
            <w:pPr>
              <w:spacing w:after="0"/>
              <w:rPr>
                <w:sz w:val="1"/>
                <w:szCs w:val="1"/>
                <w:color w:val="auto"/>
              </w:rPr>
            </w:pPr>
          </w:p>
        </w:tc>
      </w:tr>
      <w:tr>
        <w:trPr>
          <w:trHeight w:val="27"/>
        </w:trPr>
        <w:tc>
          <w:tcPr>
            <w:tcW w:w="73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3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26"/>
        </w:trPr>
        <w:tc>
          <w:tcPr>
            <w:tcW w:w="738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380" w:type="dxa"/>
            <w:vAlign w:val="bottom"/>
          </w:tcPr>
          <w:p>
            <w:pPr>
              <w:ind w:left="20"/>
              <w:spacing w:after="0"/>
              <w:rPr>
                <w:sz w:val="20"/>
                <w:szCs w:val="20"/>
                <w:color w:val="auto"/>
              </w:rPr>
            </w:pPr>
            <w:r>
              <w:rPr>
                <w:rFonts w:ascii="Arial" w:cs="Arial" w:eastAsia="Arial" w:hAnsi="Arial"/>
                <w:sz w:val="18"/>
                <w:szCs w:val="18"/>
                <w:color w:val="auto"/>
              </w:rPr>
              <w:t>Additions to property and equipment</w:t>
            </w:r>
          </w:p>
        </w:tc>
        <w:tc>
          <w:tcPr>
            <w:tcW w:w="380" w:type="dxa"/>
            <w:vAlign w:val="bottom"/>
          </w:tcPr>
          <w:p>
            <w:pPr>
              <w:spacing w:after="0"/>
              <w:rPr>
                <w:sz w:val="23"/>
                <w:szCs w:val="23"/>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b w:val="1"/>
                <w:bCs w:val="1"/>
                <w:color w:val="auto"/>
              </w:rPr>
              <w:t>(250,047)</w:t>
            </w:r>
          </w:p>
        </w:tc>
        <w:tc>
          <w:tcPr>
            <w:tcW w:w="7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(250,314)</w:t>
            </w:r>
          </w:p>
        </w:tc>
        <w:tc>
          <w:tcPr>
            <w:tcW w:w="0" w:type="dxa"/>
            <w:vAlign w:val="bottom"/>
          </w:tcPr>
          <w:p>
            <w:pPr>
              <w:spacing w:after="0"/>
              <w:rPr>
                <w:sz w:val="1"/>
                <w:szCs w:val="1"/>
                <w:color w:val="auto"/>
              </w:rPr>
            </w:pPr>
          </w:p>
        </w:tc>
      </w:tr>
      <w:tr>
        <w:trPr>
          <w:trHeight w:val="270"/>
        </w:trPr>
        <w:tc>
          <w:tcPr>
            <w:tcW w:w="7380" w:type="dxa"/>
            <w:vAlign w:val="bottom"/>
          </w:tcPr>
          <w:p>
            <w:pPr>
              <w:ind w:left="20"/>
              <w:spacing w:after="0"/>
              <w:rPr>
                <w:sz w:val="20"/>
                <w:szCs w:val="20"/>
                <w:color w:val="auto"/>
              </w:rPr>
            </w:pPr>
            <w:r>
              <w:rPr>
                <w:rFonts w:ascii="Arial" w:cs="Arial" w:eastAsia="Arial" w:hAnsi="Arial"/>
                <w:sz w:val="18"/>
                <w:szCs w:val="18"/>
                <w:color w:val="auto"/>
              </w:rPr>
              <w:t>Proceeds from investments</w:t>
            </w:r>
          </w:p>
        </w:tc>
        <w:tc>
          <w:tcPr>
            <w:tcW w:w="380" w:type="dxa"/>
            <w:vAlign w:val="bottom"/>
          </w:tcPr>
          <w:p>
            <w:pPr>
              <w:spacing w:after="0"/>
              <w:rPr>
                <w:sz w:val="23"/>
                <w:szCs w:val="23"/>
                <w:color w:val="auto"/>
              </w:rPr>
            </w:pPr>
          </w:p>
        </w:tc>
        <w:tc>
          <w:tcPr>
            <w:tcW w:w="150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517</w:t>
            </w:r>
          </w:p>
        </w:tc>
        <w:tc>
          <w:tcPr>
            <w:tcW w:w="0" w:type="dxa"/>
            <w:vAlign w:val="bottom"/>
          </w:tcPr>
          <w:p>
            <w:pPr>
              <w:spacing w:after="0"/>
              <w:rPr>
                <w:sz w:val="1"/>
                <w:szCs w:val="1"/>
                <w:color w:val="auto"/>
              </w:rPr>
            </w:pPr>
          </w:p>
        </w:tc>
      </w:tr>
      <w:tr>
        <w:trPr>
          <w:trHeight w:val="27"/>
        </w:trPr>
        <w:tc>
          <w:tcPr>
            <w:tcW w:w="73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380" w:type="dxa"/>
            <w:vAlign w:val="bottom"/>
          </w:tcPr>
          <w:p>
            <w:pPr>
              <w:ind w:left="440"/>
              <w:spacing w:after="0"/>
              <w:rPr>
                <w:sz w:val="20"/>
                <w:szCs w:val="20"/>
                <w:color w:val="auto"/>
              </w:rPr>
            </w:pPr>
            <w:r>
              <w:rPr>
                <w:rFonts w:ascii="Arial" w:cs="Arial" w:eastAsia="Arial" w:hAnsi="Arial"/>
                <w:sz w:val="18"/>
                <w:szCs w:val="18"/>
                <w:color w:val="auto"/>
              </w:rPr>
              <w:t>Net cash used in investing activities</w:t>
            </w:r>
          </w:p>
        </w:tc>
        <w:tc>
          <w:tcPr>
            <w:tcW w:w="380" w:type="dxa"/>
            <w:vAlign w:val="bottom"/>
          </w:tcPr>
          <w:p>
            <w:pPr>
              <w:spacing w:after="0"/>
              <w:rPr>
                <w:sz w:val="20"/>
                <w:szCs w:val="20"/>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b w:val="1"/>
                <w:bCs w:val="1"/>
                <w:color w:val="auto"/>
              </w:rPr>
              <w:t>(250,047)</w:t>
            </w:r>
          </w:p>
        </w:tc>
        <w:tc>
          <w:tcPr>
            <w:tcW w:w="7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(249,797)</w:t>
            </w:r>
          </w:p>
        </w:tc>
        <w:tc>
          <w:tcPr>
            <w:tcW w:w="0" w:type="dxa"/>
            <w:vAlign w:val="bottom"/>
          </w:tcPr>
          <w:p>
            <w:pPr>
              <w:spacing w:after="0"/>
              <w:rPr>
                <w:sz w:val="1"/>
                <w:szCs w:val="1"/>
                <w:color w:val="auto"/>
              </w:rPr>
            </w:pPr>
          </w:p>
        </w:tc>
      </w:tr>
      <w:tr>
        <w:trPr>
          <w:trHeight w:val="27"/>
        </w:trPr>
        <w:tc>
          <w:tcPr>
            <w:tcW w:w="73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3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26"/>
        </w:trPr>
        <w:tc>
          <w:tcPr>
            <w:tcW w:w="738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380" w:type="dxa"/>
            <w:vAlign w:val="bottom"/>
          </w:tcPr>
          <w:p>
            <w:pPr>
              <w:ind w:left="20"/>
              <w:spacing w:after="0"/>
              <w:rPr>
                <w:sz w:val="20"/>
                <w:szCs w:val="20"/>
                <w:color w:val="auto"/>
              </w:rPr>
            </w:pPr>
            <w:r>
              <w:rPr>
                <w:rFonts w:ascii="Arial" w:cs="Arial" w:eastAsia="Arial" w:hAnsi="Arial"/>
                <w:sz w:val="18"/>
                <w:szCs w:val="18"/>
                <w:color w:val="auto"/>
              </w:rPr>
              <w:t>Net proceeds from issuance of short-term debt</w:t>
            </w:r>
          </w:p>
        </w:tc>
        <w:tc>
          <w:tcPr>
            <w:tcW w:w="380" w:type="dxa"/>
            <w:vAlign w:val="bottom"/>
          </w:tcPr>
          <w:p>
            <w:pPr>
              <w:spacing w:after="0"/>
              <w:rPr>
                <w:sz w:val="23"/>
                <w:szCs w:val="23"/>
                <w:color w:val="auto"/>
              </w:rPr>
            </w:pPr>
          </w:p>
        </w:tc>
        <w:tc>
          <w:tcPr>
            <w:tcW w:w="1500" w:type="dxa"/>
            <w:vAlign w:val="bottom"/>
          </w:tcPr>
          <w:p>
            <w:pPr>
              <w:jc w:val="right"/>
              <w:ind w:right="50"/>
              <w:spacing w:after="0"/>
              <w:rPr>
                <w:sz w:val="20"/>
                <w:szCs w:val="20"/>
                <w:color w:val="auto"/>
              </w:rPr>
            </w:pPr>
            <w:r>
              <w:rPr>
                <w:rFonts w:ascii="Arial" w:cs="Arial" w:eastAsia="Arial" w:hAnsi="Arial"/>
                <w:sz w:val="18"/>
                <w:szCs w:val="18"/>
                <w:b w:val="1"/>
                <w:bCs w:val="1"/>
                <w:color w:val="auto"/>
              </w:rPr>
              <w:t>805,601</w:t>
            </w:r>
          </w:p>
        </w:tc>
        <w:tc>
          <w:tcPr>
            <w:tcW w:w="76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7380" w:type="dxa"/>
            <w:vAlign w:val="bottom"/>
          </w:tcPr>
          <w:p>
            <w:pPr>
              <w:ind w:left="20"/>
              <w:spacing w:after="0"/>
              <w:rPr>
                <w:sz w:val="20"/>
                <w:szCs w:val="20"/>
                <w:color w:val="auto"/>
              </w:rPr>
            </w:pPr>
            <w:r>
              <w:rPr>
                <w:rFonts w:ascii="Arial" w:cs="Arial" w:eastAsia="Arial" w:hAnsi="Arial"/>
                <w:sz w:val="18"/>
                <w:szCs w:val="18"/>
                <w:color w:val="auto"/>
              </w:rPr>
              <w:t>Payments of short-term debt</w:t>
            </w:r>
          </w:p>
        </w:tc>
        <w:tc>
          <w:tcPr>
            <w:tcW w:w="380" w:type="dxa"/>
            <w:vAlign w:val="bottom"/>
          </w:tcPr>
          <w:p>
            <w:pPr>
              <w:spacing w:after="0"/>
              <w:rPr>
                <w:sz w:val="23"/>
                <w:szCs w:val="23"/>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b w:val="1"/>
                <w:bCs w:val="1"/>
                <w:color w:val="auto"/>
              </w:rPr>
              <w:t>(3,094)</w:t>
            </w:r>
          </w:p>
        </w:tc>
        <w:tc>
          <w:tcPr>
            <w:tcW w:w="76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7380" w:type="dxa"/>
            <w:vAlign w:val="bottom"/>
          </w:tcPr>
          <w:p>
            <w:pPr>
              <w:ind w:left="20"/>
              <w:spacing w:after="0"/>
              <w:rPr>
                <w:sz w:val="20"/>
                <w:szCs w:val="20"/>
                <w:color w:val="auto"/>
              </w:rPr>
            </w:pPr>
            <w:r>
              <w:rPr>
                <w:rFonts w:ascii="Arial" w:cs="Arial" w:eastAsia="Arial" w:hAnsi="Arial"/>
                <w:sz w:val="18"/>
                <w:szCs w:val="18"/>
                <w:color w:val="auto"/>
              </w:rPr>
              <w:t>Net proceeds from issuance of long-term debt</w:t>
            </w:r>
          </w:p>
        </w:tc>
        <w:tc>
          <w:tcPr>
            <w:tcW w:w="380" w:type="dxa"/>
            <w:vAlign w:val="bottom"/>
          </w:tcPr>
          <w:p>
            <w:pPr>
              <w:spacing w:after="0"/>
              <w:rPr>
                <w:sz w:val="23"/>
                <w:szCs w:val="23"/>
                <w:color w:val="auto"/>
              </w:rPr>
            </w:pPr>
          </w:p>
        </w:tc>
        <w:tc>
          <w:tcPr>
            <w:tcW w:w="1500" w:type="dxa"/>
            <w:vAlign w:val="bottom"/>
          </w:tcPr>
          <w:p>
            <w:pPr>
              <w:jc w:val="right"/>
              <w:ind w:right="50"/>
              <w:spacing w:after="0"/>
              <w:rPr>
                <w:sz w:val="20"/>
                <w:szCs w:val="20"/>
                <w:color w:val="auto"/>
              </w:rPr>
            </w:pPr>
            <w:r>
              <w:rPr>
                <w:rFonts w:ascii="Arial" w:cs="Arial" w:eastAsia="Arial" w:hAnsi="Arial"/>
                <w:sz w:val="18"/>
                <w:szCs w:val="18"/>
                <w:b w:val="1"/>
                <w:bCs w:val="1"/>
                <w:color w:val="auto"/>
              </w:rPr>
              <w:t>1,976,030</w:t>
            </w:r>
          </w:p>
        </w:tc>
        <w:tc>
          <w:tcPr>
            <w:tcW w:w="76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7380" w:type="dxa"/>
            <w:vAlign w:val="bottom"/>
          </w:tcPr>
          <w:p>
            <w:pPr>
              <w:ind w:left="20"/>
              <w:spacing w:after="0"/>
              <w:rPr>
                <w:sz w:val="20"/>
                <w:szCs w:val="20"/>
                <w:color w:val="auto"/>
              </w:rPr>
            </w:pPr>
            <w:r>
              <w:rPr>
                <w:rFonts w:ascii="Arial" w:cs="Arial" w:eastAsia="Arial" w:hAnsi="Arial"/>
                <w:sz w:val="18"/>
                <w:szCs w:val="18"/>
                <w:color w:val="auto"/>
              </w:rPr>
              <w:t>Payments of debt issuance costs</w:t>
            </w:r>
          </w:p>
        </w:tc>
        <w:tc>
          <w:tcPr>
            <w:tcW w:w="380" w:type="dxa"/>
            <w:vAlign w:val="bottom"/>
          </w:tcPr>
          <w:p>
            <w:pPr>
              <w:spacing w:after="0"/>
              <w:rPr>
                <w:sz w:val="23"/>
                <w:szCs w:val="23"/>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b w:val="1"/>
                <w:bCs w:val="1"/>
                <w:color w:val="auto"/>
              </w:rPr>
              <w:t>(3,254)</w:t>
            </w:r>
          </w:p>
        </w:tc>
        <w:tc>
          <w:tcPr>
            <w:tcW w:w="76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7380" w:type="dxa"/>
            <w:vAlign w:val="bottom"/>
          </w:tcPr>
          <w:p>
            <w:pPr>
              <w:ind w:left="20"/>
              <w:spacing w:after="0"/>
              <w:rPr>
                <w:sz w:val="20"/>
                <w:szCs w:val="20"/>
                <w:color w:val="auto"/>
              </w:rPr>
            </w:pPr>
            <w:r>
              <w:rPr>
                <w:rFonts w:ascii="Arial" w:cs="Arial" w:eastAsia="Arial" w:hAnsi="Arial"/>
                <w:sz w:val="18"/>
                <w:szCs w:val="18"/>
                <w:color w:val="auto"/>
              </w:rPr>
              <w:t>Issuance of common stock related to stock plans</w:t>
            </w:r>
          </w:p>
        </w:tc>
        <w:tc>
          <w:tcPr>
            <w:tcW w:w="380" w:type="dxa"/>
            <w:vAlign w:val="bottom"/>
          </w:tcPr>
          <w:p>
            <w:pPr>
              <w:spacing w:after="0"/>
              <w:rPr>
                <w:sz w:val="23"/>
                <w:szCs w:val="23"/>
                <w:color w:val="auto"/>
              </w:rPr>
            </w:pPr>
          </w:p>
        </w:tc>
        <w:tc>
          <w:tcPr>
            <w:tcW w:w="1500" w:type="dxa"/>
            <w:vAlign w:val="bottom"/>
          </w:tcPr>
          <w:p>
            <w:pPr>
              <w:jc w:val="right"/>
              <w:ind w:right="50"/>
              <w:spacing w:after="0"/>
              <w:rPr>
                <w:sz w:val="20"/>
                <w:szCs w:val="20"/>
                <w:color w:val="auto"/>
              </w:rPr>
            </w:pPr>
            <w:r>
              <w:rPr>
                <w:rFonts w:ascii="Arial" w:cs="Arial" w:eastAsia="Arial" w:hAnsi="Arial"/>
                <w:sz w:val="18"/>
                <w:szCs w:val="18"/>
                <w:b w:val="1"/>
                <w:bCs w:val="1"/>
                <w:color w:val="auto"/>
              </w:rPr>
              <w:t>11,075</w:t>
            </w:r>
          </w:p>
        </w:tc>
        <w:tc>
          <w:tcPr>
            <w:tcW w:w="76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10,906</w:t>
            </w:r>
          </w:p>
        </w:tc>
        <w:tc>
          <w:tcPr>
            <w:tcW w:w="0" w:type="dxa"/>
            <w:vAlign w:val="bottom"/>
          </w:tcPr>
          <w:p>
            <w:pPr>
              <w:spacing w:after="0"/>
              <w:rPr>
                <w:sz w:val="1"/>
                <w:szCs w:val="1"/>
                <w:color w:val="auto"/>
              </w:rPr>
            </w:pPr>
          </w:p>
        </w:tc>
      </w:tr>
      <w:tr>
        <w:trPr>
          <w:trHeight w:val="270"/>
        </w:trPr>
        <w:tc>
          <w:tcPr>
            <w:tcW w:w="7380" w:type="dxa"/>
            <w:vAlign w:val="bottom"/>
          </w:tcPr>
          <w:p>
            <w:pPr>
              <w:ind w:left="20"/>
              <w:spacing w:after="0"/>
              <w:rPr>
                <w:sz w:val="20"/>
                <w:szCs w:val="20"/>
                <w:color w:val="auto"/>
              </w:rPr>
            </w:pPr>
            <w:r>
              <w:rPr>
                <w:rFonts w:ascii="Arial" w:cs="Arial" w:eastAsia="Arial" w:hAnsi="Arial"/>
                <w:sz w:val="18"/>
                <w:szCs w:val="18"/>
                <w:color w:val="auto"/>
              </w:rPr>
              <w:t>Treasury stock purchased</w:t>
            </w:r>
          </w:p>
        </w:tc>
        <w:tc>
          <w:tcPr>
            <w:tcW w:w="380" w:type="dxa"/>
            <w:vAlign w:val="bottom"/>
          </w:tcPr>
          <w:p>
            <w:pPr>
              <w:spacing w:after="0"/>
              <w:rPr>
                <w:sz w:val="23"/>
                <w:szCs w:val="23"/>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b w:val="1"/>
                <w:bCs w:val="1"/>
                <w:color w:val="auto"/>
              </w:rPr>
              <w:t>(32,346)</w:t>
            </w:r>
          </w:p>
        </w:tc>
        <w:tc>
          <w:tcPr>
            <w:tcW w:w="7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(52,349)</w:t>
            </w:r>
          </w:p>
        </w:tc>
        <w:tc>
          <w:tcPr>
            <w:tcW w:w="0" w:type="dxa"/>
            <w:vAlign w:val="bottom"/>
          </w:tcPr>
          <w:p>
            <w:pPr>
              <w:spacing w:after="0"/>
              <w:rPr>
                <w:sz w:val="1"/>
                <w:szCs w:val="1"/>
                <w:color w:val="auto"/>
              </w:rPr>
            </w:pPr>
          </w:p>
        </w:tc>
      </w:tr>
      <w:tr>
        <w:trPr>
          <w:trHeight w:val="270"/>
        </w:trPr>
        <w:tc>
          <w:tcPr>
            <w:tcW w:w="7380" w:type="dxa"/>
            <w:vAlign w:val="bottom"/>
          </w:tcPr>
          <w:p>
            <w:pPr>
              <w:ind w:left="20"/>
              <w:spacing w:after="0"/>
              <w:rPr>
                <w:sz w:val="20"/>
                <w:szCs w:val="20"/>
                <w:color w:val="auto"/>
              </w:rPr>
            </w:pPr>
            <w:r>
              <w:rPr>
                <w:rFonts w:ascii="Arial" w:cs="Arial" w:eastAsia="Arial" w:hAnsi="Arial"/>
                <w:sz w:val="18"/>
                <w:szCs w:val="18"/>
                <w:color w:val="auto"/>
              </w:rPr>
              <w:t>Repurchase of common stock</w:t>
            </w:r>
          </w:p>
        </w:tc>
        <w:tc>
          <w:tcPr>
            <w:tcW w:w="380" w:type="dxa"/>
            <w:vAlign w:val="bottom"/>
          </w:tcPr>
          <w:p>
            <w:pPr>
              <w:spacing w:after="0"/>
              <w:rPr>
                <w:sz w:val="23"/>
                <w:szCs w:val="23"/>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b w:val="1"/>
                <w:bCs w:val="1"/>
                <w:color w:val="auto"/>
              </w:rPr>
              <w:t>(132,467)</w:t>
            </w:r>
          </w:p>
        </w:tc>
        <w:tc>
          <w:tcPr>
            <w:tcW w:w="7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(640,259)</w:t>
            </w:r>
          </w:p>
        </w:tc>
        <w:tc>
          <w:tcPr>
            <w:tcW w:w="0" w:type="dxa"/>
            <w:vAlign w:val="bottom"/>
          </w:tcPr>
          <w:p>
            <w:pPr>
              <w:spacing w:after="0"/>
              <w:rPr>
                <w:sz w:val="1"/>
                <w:szCs w:val="1"/>
                <w:color w:val="auto"/>
              </w:rPr>
            </w:pPr>
          </w:p>
        </w:tc>
      </w:tr>
      <w:tr>
        <w:trPr>
          <w:trHeight w:val="270"/>
        </w:trPr>
        <w:tc>
          <w:tcPr>
            <w:tcW w:w="7380" w:type="dxa"/>
            <w:vAlign w:val="bottom"/>
          </w:tcPr>
          <w:p>
            <w:pPr>
              <w:ind w:left="20"/>
              <w:spacing w:after="0"/>
              <w:rPr>
                <w:sz w:val="20"/>
                <w:szCs w:val="20"/>
                <w:color w:val="auto"/>
              </w:rPr>
            </w:pPr>
            <w:r>
              <w:rPr>
                <w:rFonts w:ascii="Arial" w:cs="Arial" w:eastAsia="Arial" w:hAnsi="Arial"/>
                <w:sz w:val="18"/>
                <w:szCs w:val="18"/>
                <w:color w:val="auto"/>
              </w:rPr>
              <w:t>Dividends paid</w:t>
            </w:r>
          </w:p>
        </w:tc>
        <w:tc>
          <w:tcPr>
            <w:tcW w:w="380" w:type="dxa"/>
            <w:vAlign w:val="bottom"/>
          </w:tcPr>
          <w:p>
            <w:pPr>
              <w:spacing w:after="0"/>
              <w:rPr>
                <w:sz w:val="23"/>
                <w:szCs w:val="23"/>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b w:val="1"/>
                <w:bCs w:val="1"/>
                <w:color w:val="auto"/>
              </w:rPr>
              <w:t>(101,414)</w:t>
            </w:r>
          </w:p>
        </w:tc>
        <w:tc>
          <w:tcPr>
            <w:tcW w:w="7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(186,642)</w:t>
            </w:r>
          </w:p>
        </w:tc>
        <w:tc>
          <w:tcPr>
            <w:tcW w:w="0" w:type="dxa"/>
            <w:vAlign w:val="bottom"/>
          </w:tcPr>
          <w:p>
            <w:pPr>
              <w:spacing w:after="0"/>
              <w:rPr>
                <w:sz w:val="1"/>
                <w:szCs w:val="1"/>
                <w:color w:val="auto"/>
              </w:rPr>
            </w:pPr>
          </w:p>
        </w:tc>
      </w:tr>
      <w:tr>
        <w:trPr>
          <w:trHeight w:val="27"/>
        </w:trPr>
        <w:tc>
          <w:tcPr>
            <w:tcW w:w="73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380" w:type="dxa"/>
            <w:vAlign w:val="bottom"/>
          </w:tcPr>
          <w:p>
            <w:pPr>
              <w:ind w:left="440"/>
              <w:spacing w:after="0"/>
              <w:rPr>
                <w:sz w:val="20"/>
                <w:szCs w:val="20"/>
                <w:color w:val="auto"/>
              </w:rPr>
            </w:pPr>
            <w:r>
              <w:rPr>
                <w:rFonts w:ascii="Arial" w:cs="Arial" w:eastAsia="Arial" w:hAnsi="Arial"/>
                <w:sz w:val="18"/>
                <w:szCs w:val="18"/>
                <w:color w:val="auto"/>
              </w:rPr>
              <w:t>Net cash provided by (used in) financing activities</w:t>
            </w:r>
          </w:p>
        </w:tc>
        <w:tc>
          <w:tcPr>
            <w:tcW w:w="380" w:type="dxa"/>
            <w:vAlign w:val="bottom"/>
          </w:tcPr>
          <w:p>
            <w:pPr>
              <w:spacing w:after="0"/>
              <w:rPr>
                <w:sz w:val="20"/>
                <w:szCs w:val="20"/>
                <w:color w:val="auto"/>
              </w:rPr>
            </w:pPr>
          </w:p>
        </w:tc>
        <w:tc>
          <w:tcPr>
            <w:tcW w:w="1500" w:type="dxa"/>
            <w:vAlign w:val="bottom"/>
          </w:tcPr>
          <w:p>
            <w:pPr>
              <w:jc w:val="right"/>
              <w:ind w:right="50"/>
              <w:spacing w:after="0"/>
              <w:rPr>
                <w:sz w:val="20"/>
                <w:szCs w:val="20"/>
                <w:color w:val="auto"/>
              </w:rPr>
            </w:pPr>
            <w:r>
              <w:rPr>
                <w:rFonts w:ascii="Arial" w:cs="Arial" w:eastAsia="Arial" w:hAnsi="Arial"/>
                <w:sz w:val="18"/>
                <w:szCs w:val="18"/>
                <w:b w:val="1"/>
                <w:bCs w:val="1"/>
                <w:color w:val="auto"/>
              </w:rPr>
              <w:t>2,520,131</w:t>
            </w:r>
          </w:p>
        </w:tc>
        <w:tc>
          <w:tcPr>
            <w:tcW w:w="7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(868,344)</w:t>
            </w:r>
          </w:p>
        </w:tc>
        <w:tc>
          <w:tcPr>
            <w:tcW w:w="0" w:type="dxa"/>
            <w:vAlign w:val="bottom"/>
          </w:tcPr>
          <w:p>
            <w:pPr>
              <w:spacing w:after="0"/>
              <w:rPr>
                <w:sz w:val="1"/>
                <w:szCs w:val="1"/>
                <w:color w:val="auto"/>
              </w:rPr>
            </w:pPr>
          </w:p>
        </w:tc>
      </w:tr>
      <w:tr>
        <w:trPr>
          <w:trHeight w:val="27"/>
        </w:trPr>
        <w:tc>
          <w:tcPr>
            <w:tcW w:w="73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26"/>
        </w:trPr>
        <w:tc>
          <w:tcPr>
            <w:tcW w:w="7380" w:type="dxa"/>
            <w:vAlign w:val="bottom"/>
          </w:tcPr>
          <w:p>
            <w:pPr>
              <w:ind w:left="20"/>
              <w:spacing w:after="0"/>
              <w:rPr>
                <w:sz w:val="20"/>
                <w:szCs w:val="20"/>
                <w:color w:val="auto"/>
              </w:rPr>
            </w:pPr>
            <w:r>
              <w:rPr>
                <w:rFonts w:ascii="Arial" w:cs="Arial" w:eastAsia="Arial" w:hAnsi="Arial"/>
                <w:sz w:val="18"/>
                <w:szCs w:val="18"/>
                <w:color w:val="auto"/>
                <w:w w:val="99"/>
              </w:rPr>
              <w:t>Net increase (decrease) in cash, cash equivalents, and restricted cash and cash equivalents</w:t>
            </w:r>
          </w:p>
        </w:tc>
        <w:tc>
          <w:tcPr>
            <w:tcW w:w="380" w:type="dxa"/>
            <w:vAlign w:val="bottom"/>
          </w:tcPr>
          <w:p>
            <w:pPr>
              <w:spacing w:after="0"/>
              <w:rPr>
                <w:sz w:val="24"/>
                <w:szCs w:val="24"/>
                <w:color w:val="auto"/>
              </w:rPr>
            </w:pPr>
          </w:p>
        </w:tc>
        <w:tc>
          <w:tcPr>
            <w:tcW w:w="1500" w:type="dxa"/>
            <w:vAlign w:val="bottom"/>
          </w:tcPr>
          <w:p>
            <w:pPr>
              <w:jc w:val="right"/>
              <w:ind w:right="50"/>
              <w:spacing w:after="0"/>
              <w:rPr>
                <w:sz w:val="20"/>
                <w:szCs w:val="20"/>
                <w:color w:val="auto"/>
              </w:rPr>
            </w:pPr>
            <w:r>
              <w:rPr>
                <w:rFonts w:ascii="Arial" w:cs="Arial" w:eastAsia="Arial" w:hAnsi="Arial"/>
                <w:sz w:val="18"/>
                <w:szCs w:val="18"/>
                <w:b w:val="1"/>
                <w:bCs w:val="1"/>
                <w:color w:val="auto"/>
              </w:rPr>
              <w:t>2,442,505</w:t>
            </w:r>
          </w:p>
        </w:tc>
        <w:tc>
          <w:tcPr>
            <w:tcW w:w="7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(34,678)</w:t>
            </w:r>
          </w:p>
        </w:tc>
        <w:tc>
          <w:tcPr>
            <w:tcW w:w="0" w:type="dxa"/>
            <w:vAlign w:val="bottom"/>
          </w:tcPr>
          <w:p>
            <w:pPr>
              <w:spacing w:after="0"/>
              <w:rPr>
                <w:sz w:val="1"/>
                <w:szCs w:val="1"/>
                <w:color w:val="auto"/>
              </w:rPr>
            </w:pPr>
          </w:p>
        </w:tc>
      </w:tr>
      <w:tr>
        <w:trPr>
          <w:trHeight w:val="472"/>
        </w:trPr>
        <w:tc>
          <w:tcPr>
            <w:tcW w:w="7380" w:type="dxa"/>
            <w:vAlign w:val="bottom"/>
          </w:tcPr>
          <w:p>
            <w:pPr>
              <w:ind w:left="20"/>
              <w:spacing w:after="0"/>
              <w:rPr>
                <w:sz w:val="20"/>
                <w:szCs w:val="20"/>
                <w:color w:val="auto"/>
              </w:rPr>
            </w:pPr>
            <w:r>
              <w:rPr>
                <w:rFonts w:ascii="Arial" w:cs="Arial" w:eastAsia="Arial" w:hAnsi="Arial"/>
                <w:sz w:val="18"/>
                <w:szCs w:val="18"/>
                <w:color w:val="auto"/>
              </w:rPr>
              <w:t>Cash, cash equivalents, and restricted cash and cash equivalents:</w:t>
            </w:r>
          </w:p>
        </w:tc>
        <w:tc>
          <w:tcPr>
            <w:tcW w:w="3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380" w:type="dxa"/>
            <w:vAlign w:val="bottom"/>
          </w:tcPr>
          <w:p>
            <w:pPr>
              <w:ind w:left="440"/>
              <w:spacing w:after="0"/>
              <w:rPr>
                <w:sz w:val="20"/>
                <w:szCs w:val="20"/>
                <w:color w:val="auto"/>
              </w:rPr>
            </w:pPr>
            <w:r>
              <w:rPr>
                <w:rFonts w:ascii="Arial" w:cs="Arial" w:eastAsia="Arial" w:hAnsi="Arial"/>
                <w:sz w:val="18"/>
                <w:szCs w:val="18"/>
                <w:color w:val="auto"/>
              </w:rPr>
              <w:t>Beginning of period</w:t>
            </w:r>
          </w:p>
        </w:tc>
        <w:tc>
          <w:tcPr>
            <w:tcW w:w="380" w:type="dxa"/>
            <w:vAlign w:val="bottom"/>
          </w:tcPr>
          <w:p>
            <w:pPr>
              <w:spacing w:after="0"/>
              <w:rPr>
                <w:sz w:val="23"/>
                <w:szCs w:val="23"/>
                <w:color w:val="auto"/>
              </w:rPr>
            </w:pPr>
          </w:p>
        </w:tc>
        <w:tc>
          <w:tcPr>
            <w:tcW w:w="1500" w:type="dxa"/>
            <w:vAlign w:val="bottom"/>
          </w:tcPr>
          <w:p>
            <w:pPr>
              <w:jc w:val="right"/>
              <w:ind w:right="50"/>
              <w:spacing w:after="0"/>
              <w:rPr>
                <w:sz w:val="20"/>
                <w:szCs w:val="20"/>
                <w:color w:val="auto"/>
              </w:rPr>
            </w:pPr>
            <w:r>
              <w:rPr>
                <w:rFonts w:ascii="Arial" w:cs="Arial" w:eastAsia="Arial" w:hAnsi="Arial"/>
                <w:sz w:val="18"/>
                <w:szCs w:val="18"/>
                <w:b w:val="1"/>
                <w:bCs w:val="1"/>
                <w:color w:val="auto"/>
              </w:rPr>
              <w:t>1,411,410</w:t>
            </w:r>
          </w:p>
        </w:tc>
        <w:tc>
          <w:tcPr>
            <w:tcW w:w="76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1,478,079</w:t>
            </w:r>
          </w:p>
        </w:tc>
        <w:tc>
          <w:tcPr>
            <w:tcW w:w="0" w:type="dxa"/>
            <w:vAlign w:val="bottom"/>
          </w:tcPr>
          <w:p>
            <w:pPr>
              <w:spacing w:after="0"/>
              <w:rPr>
                <w:sz w:val="1"/>
                <w:szCs w:val="1"/>
                <w:color w:val="auto"/>
              </w:rPr>
            </w:pPr>
          </w:p>
        </w:tc>
      </w:tr>
      <w:tr>
        <w:trPr>
          <w:trHeight w:val="27"/>
        </w:trPr>
        <w:tc>
          <w:tcPr>
            <w:tcW w:w="73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380" w:type="dxa"/>
            <w:vAlign w:val="bottom"/>
          </w:tcPr>
          <w:p>
            <w:pPr>
              <w:ind w:left="440"/>
              <w:spacing w:after="0"/>
              <w:rPr>
                <w:sz w:val="20"/>
                <w:szCs w:val="20"/>
                <w:color w:val="auto"/>
              </w:rPr>
            </w:pPr>
            <w:r>
              <w:rPr>
                <w:rFonts w:ascii="Arial" w:cs="Arial" w:eastAsia="Arial" w:hAnsi="Arial"/>
                <w:sz w:val="18"/>
                <w:szCs w:val="18"/>
                <w:color w:val="auto"/>
              </w:rPr>
              <w:t>End of period</w:t>
            </w: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15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3,853,915</w:t>
            </w:r>
          </w:p>
        </w:tc>
        <w:tc>
          <w:tcPr>
            <w:tcW w:w="7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1,443,401</w:t>
            </w:r>
          </w:p>
        </w:tc>
        <w:tc>
          <w:tcPr>
            <w:tcW w:w="0" w:type="dxa"/>
            <w:vAlign w:val="bottom"/>
          </w:tcPr>
          <w:p>
            <w:pPr>
              <w:spacing w:after="0"/>
              <w:rPr>
                <w:sz w:val="1"/>
                <w:szCs w:val="1"/>
                <w:color w:val="auto"/>
              </w:rPr>
            </w:pPr>
          </w:p>
        </w:tc>
      </w:tr>
      <w:tr>
        <w:trPr>
          <w:trHeight w:val="20"/>
        </w:trPr>
        <w:tc>
          <w:tcPr>
            <w:tcW w:w="7380" w:type="dxa"/>
            <w:vAlign w:val="bottom"/>
            <w:vMerge w:val="restart"/>
          </w:tcPr>
          <w:p>
            <w:pPr>
              <w:ind w:left="20"/>
              <w:spacing w:after="0"/>
              <w:rPr>
                <w:sz w:val="20"/>
                <w:szCs w:val="20"/>
                <w:color w:val="auto"/>
              </w:rPr>
            </w:pPr>
            <w:r>
              <w:rPr>
                <w:rFonts w:ascii="Arial" w:cs="Arial" w:eastAsia="Arial" w:hAnsi="Arial"/>
                <w:sz w:val="18"/>
                <w:szCs w:val="18"/>
                <w:color w:val="auto"/>
              </w:rPr>
              <w:t>Reconciliations:</w:t>
            </w:r>
          </w:p>
        </w:tc>
        <w:tc>
          <w:tcPr>
            <w:tcW w:w="3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738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380" w:type="dxa"/>
            <w:vAlign w:val="bottom"/>
          </w:tcPr>
          <w:p>
            <w:pPr>
              <w:ind w:left="120"/>
              <w:spacing w:after="0"/>
              <w:rPr>
                <w:sz w:val="20"/>
                <w:szCs w:val="20"/>
                <w:color w:val="auto"/>
              </w:rPr>
            </w:pPr>
            <w:r>
              <w:rPr>
                <w:rFonts w:ascii="Arial" w:cs="Arial" w:eastAsia="Arial" w:hAnsi="Arial"/>
                <w:sz w:val="18"/>
                <w:szCs w:val="18"/>
                <w:color w:val="auto"/>
              </w:rPr>
              <w:t>Cash and cash equivalents</w:t>
            </w:r>
          </w:p>
        </w:tc>
        <w:tc>
          <w:tcPr>
            <w:tcW w:w="380" w:type="dxa"/>
            <w:vAlign w:val="bottom"/>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1500" w:type="dxa"/>
            <w:vAlign w:val="bottom"/>
          </w:tcPr>
          <w:p>
            <w:pPr>
              <w:jc w:val="right"/>
              <w:ind w:right="50"/>
              <w:spacing w:after="0"/>
              <w:rPr>
                <w:sz w:val="20"/>
                <w:szCs w:val="20"/>
                <w:color w:val="auto"/>
              </w:rPr>
            </w:pPr>
            <w:r>
              <w:rPr>
                <w:rFonts w:ascii="Arial" w:cs="Arial" w:eastAsia="Arial" w:hAnsi="Arial"/>
                <w:sz w:val="18"/>
                <w:szCs w:val="18"/>
                <w:b w:val="1"/>
                <w:bCs w:val="1"/>
                <w:color w:val="auto"/>
              </w:rPr>
              <w:t>3,793,043</w:t>
            </w:r>
          </w:p>
        </w:tc>
        <w:tc>
          <w:tcPr>
            <w:tcW w:w="76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1,382,025</w:t>
            </w:r>
          </w:p>
        </w:tc>
        <w:tc>
          <w:tcPr>
            <w:tcW w:w="0" w:type="dxa"/>
            <w:vAlign w:val="bottom"/>
          </w:tcPr>
          <w:p>
            <w:pPr>
              <w:spacing w:after="0"/>
              <w:rPr>
                <w:sz w:val="1"/>
                <w:szCs w:val="1"/>
                <w:color w:val="auto"/>
              </w:rPr>
            </w:pPr>
          </w:p>
        </w:tc>
      </w:tr>
      <w:tr>
        <w:trPr>
          <w:trHeight w:val="270"/>
        </w:trPr>
        <w:tc>
          <w:tcPr>
            <w:tcW w:w="7380" w:type="dxa"/>
            <w:vAlign w:val="bottom"/>
          </w:tcPr>
          <w:p>
            <w:pPr>
              <w:ind w:left="120"/>
              <w:spacing w:after="0"/>
              <w:rPr>
                <w:sz w:val="20"/>
                <w:szCs w:val="20"/>
                <w:color w:val="auto"/>
              </w:rPr>
            </w:pPr>
            <w:r>
              <w:rPr>
                <w:rFonts w:ascii="Arial" w:cs="Arial" w:eastAsia="Arial" w:hAnsi="Arial"/>
                <w:sz w:val="18"/>
                <w:szCs w:val="18"/>
                <w:color w:val="auto"/>
              </w:rPr>
              <w:t>Restricted cash and cash equivalents included in prepaid expenses and other</w:t>
            </w:r>
          </w:p>
        </w:tc>
        <w:tc>
          <w:tcPr>
            <w:tcW w:w="380" w:type="dxa"/>
            <w:vAlign w:val="bottom"/>
          </w:tcPr>
          <w:p>
            <w:pPr>
              <w:spacing w:after="0"/>
              <w:rPr>
                <w:sz w:val="23"/>
                <w:szCs w:val="23"/>
                <w:color w:val="auto"/>
              </w:rPr>
            </w:pPr>
          </w:p>
        </w:tc>
        <w:tc>
          <w:tcPr>
            <w:tcW w:w="1500" w:type="dxa"/>
            <w:vAlign w:val="bottom"/>
          </w:tcPr>
          <w:p>
            <w:pPr>
              <w:jc w:val="right"/>
              <w:ind w:right="50"/>
              <w:spacing w:after="0"/>
              <w:rPr>
                <w:sz w:val="20"/>
                <w:szCs w:val="20"/>
                <w:color w:val="auto"/>
              </w:rPr>
            </w:pPr>
            <w:r>
              <w:rPr>
                <w:rFonts w:ascii="Arial" w:cs="Arial" w:eastAsia="Arial" w:hAnsi="Arial"/>
                <w:sz w:val="18"/>
                <w:szCs w:val="18"/>
                <w:b w:val="1"/>
                <w:bCs w:val="1"/>
                <w:color w:val="auto"/>
              </w:rPr>
              <w:t>10,348</w:t>
            </w:r>
          </w:p>
        </w:tc>
        <w:tc>
          <w:tcPr>
            <w:tcW w:w="76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11,048</w:t>
            </w:r>
          </w:p>
        </w:tc>
        <w:tc>
          <w:tcPr>
            <w:tcW w:w="0" w:type="dxa"/>
            <w:vAlign w:val="bottom"/>
          </w:tcPr>
          <w:p>
            <w:pPr>
              <w:spacing w:after="0"/>
              <w:rPr>
                <w:sz w:val="1"/>
                <w:szCs w:val="1"/>
                <w:color w:val="auto"/>
              </w:rPr>
            </w:pPr>
          </w:p>
        </w:tc>
      </w:tr>
      <w:tr>
        <w:trPr>
          <w:trHeight w:val="270"/>
        </w:trPr>
        <w:tc>
          <w:tcPr>
            <w:tcW w:w="7380" w:type="dxa"/>
            <w:vAlign w:val="bottom"/>
          </w:tcPr>
          <w:p>
            <w:pPr>
              <w:ind w:left="120"/>
              <w:spacing w:after="0"/>
              <w:rPr>
                <w:sz w:val="20"/>
                <w:szCs w:val="20"/>
                <w:color w:val="auto"/>
              </w:rPr>
            </w:pPr>
            <w:r>
              <w:rPr>
                <w:rFonts w:ascii="Arial" w:cs="Arial" w:eastAsia="Arial" w:hAnsi="Arial"/>
                <w:sz w:val="18"/>
                <w:szCs w:val="18"/>
                <w:color w:val="auto"/>
              </w:rPr>
              <w:t>Restricted cash and cash equivalents included in other long-term assets</w:t>
            </w:r>
          </w:p>
        </w:tc>
        <w:tc>
          <w:tcPr>
            <w:tcW w:w="380" w:type="dxa"/>
            <w:vAlign w:val="bottom"/>
          </w:tcPr>
          <w:p>
            <w:pPr>
              <w:spacing w:after="0"/>
              <w:rPr>
                <w:sz w:val="23"/>
                <w:szCs w:val="23"/>
                <w:color w:val="auto"/>
              </w:rPr>
            </w:pPr>
          </w:p>
        </w:tc>
        <w:tc>
          <w:tcPr>
            <w:tcW w:w="1500" w:type="dxa"/>
            <w:vAlign w:val="bottom"/>
          </w:tcPr>
          <w:p>
            <w:pPr>
              <w:jc w:val="right"/>
              <w:ind w:right="50"/>
              <w:spacing w:after="0"/>
              <w:rPr>
                <w:sz w:val="20"/>
                <w:szCs w:val="20"/>
                <w:color w:val="auto"/>
              </w:rPr>
            </w:pPr>
            <w:r>
              <w:rPr>
                <w:rFonts w:ascii="Arial" w:cs="Arial" w:eastAsia="Arial" w:hAnsi="Arial"/>
                <w:sz w:val="18"/>
                <w:szCs w:val="18"/>
                <w:b w:val="1"/>
                <w:bCs w:val="1"/>
                <w:color w:val="auto"/>
              </w:rPr>
              <w:t>50,524</w:t>
            </w:r>
          </w:p>
        </w:tc>
        <w:tc>
          <w:tcPr>
            <w:tcW w:w="76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50,328</w:t>
            </w:r>
          </w:p>
        </w:tc>
        <w:tc>
          <w:tcPr>
            <w:tcW w:w="0" w:type="dxa"/>
            <w:vAlign w:val="bottom"/>
          </w:tcPr>
          <w:p>
            <w:pPr>
              <w:spacing w:after="0"/>
              <w:rPr>
                <w:sz w:val="1"/>
                <w:szCs w:val="1"/>
                <w:color w:val="auto"/>
              </w:rPr>
            </w:pPr>
          </w:p>
        </w:tc>
      </w:tr>
      <w:tr>
        <w:trPr>
          <w:trHeight w:val="27"/>
        </w:trPr>
        <w:tc>
          <w:tcPr>
            <w:tcW w:w="73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7380" w:type="dxa"/>
            <w:vAlign w:val="bottom"/>
          </w:tcPr>
          <w:p>
            <w:pPr>
              <w:ind w:left="20"/>
              <w:spacing w:after="0"/>
              <w:rPr>
                <w:sz w:val="20"/>
                <w:szCs w:val="20"/>
                <w:color w:val="auto"/>
              </w:rPr>
            </w:pPr>
            <w:r>
              <w:rPr>
                <w:rFonts w:ascii="Arial" w:cs="Arial" w:eastAsia="Arial" w:hAnsi="Arial"/>
                <w:sz w:val="18"/>
                <w:szCs w:val="18"/>
                <w:color w:val="auto"/>
              </w:rPr>
              <w:t>Total cash, cash equivalents, and restricted cash and cash equivalents:</w:t>
            </w: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15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3,853,915</w:t>
            </w:r>
          </w:p>
        </w:tc>
        <w:tc>
          <w:tcPr>
            <w:tcW w:w="7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1,443,401</w:t>
            </w:r>
          </w:p>
        </w:tc>
        <w:tc>
          <w:tcPr>
            <w:tcW w:w="0" w:type="dxa"/>
            <w:vAlign w:val="bottom"/>
          </w:tcPr>
          <w:p>
            <w:pPr>
              <w:spacing w:after="0"/>
              <w:rPr>
                <w:sz w:val="1"/>
                <w:szCs w:val="1"/>
                <w:color w:val="auto"/>
              </w:rPr>
            </w:pPr>
          </w:p>
        </w:tc>
      </w:tr>
      <w:tr>
        <w:trPr>
          <w:trHeight w:val="21"/>
        </w:trPr>
        <w:tc>
          <w:tcPr>
            <w:tcW w:w="73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Supplemental Cash Flow Disclosures</w:t>
            </w:r>
          </w:p>
        </w:tc>
        <w:tc>
          <w:tcPr>
            <w:tcW w:w="3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738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380" w:type="dxa"/>
            <w:vAlign w:val="bottom"/>
          </w:tcPr>
          <w:p>
            <w:pPr>
              <w:ind w:left="20"/>
              <w:spacing w:after="0"/>
              <w:rPr>
                <w:sz w:val="20"/>
                <w:szCs w:val="20"/>
                <w:color w:val="auto"/>
              </w:rPr>
            </w:pPr>
            <w:r>
              <w:rPr>
                <w:rFonts w:ascii="Arial" w:cs="Arial" w:eastAsia="Arial" w:hAnsi="Arial"/>
                <w:sz w:val="18"/>
                <w:szCs w:val="18"/>
                <w:color w:val="auto"/>
              </w:rPr>
              <w:t>Interest paid</w:t>
            </w:r>
          </w:p>
        </w:tc>
        <w:tc>
          <w:tcPr>
            <w:tcW w:w="380" w:type="dxa"/>
            <w:vAlign w:val="bottom"/>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1500" w:type="dxa"/>
            <w:vAlign w:val="bottom"/>
          </w:tcPr>
          <w:p>
            <w:pPr>
              <w:jc w:val="right"/>
              <w:ind w:right="50"/>
              <w:spacing w:after="0"/>
              <w:rPr>
                <w:sz w:val="20"/>
                <w:szCs w:val="20"/>
                <w:color w:val="auto"/>
              </w:rPr>
            </w:pPr>
            <w:r>
              <w:rPr>
                <w:rFonts w:ascii="Arial" w:cs="Arial" w:eastAsia="Arial" w:hAnsi="Arial"/>
                <w:sz w:val="18"/>
                <w:szCs w:val="18"/>
                <w:b w:val="1"/>
                <w:bCs w:val="1"/>
                <w:color w:val="auto"/>
              </w:rPr>
              <w:t>10,069</w:t>
            </w:r>
          </w:p>
        </w:tc>
        <w:tc>
          <w:tcPr>
            <w:tcW w:w="76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6,341</w:t>
            </w:r>
          </w:p>
        </w:tc>
        <w:tc>
          <w:tcPr>
            <w:tcW w:w="0" w:type="dxa"/>
            <w:vAlign w:val="bottom"/>
          </w:tcPr>
          <w:p>
            <w:pPr>
              <w:spacing w:after="0"/>
              <w:rPr>
                <w:sz w:val="1"/>
                <w:szCs w:val="1"/>
                <w:color w:val="auto"/>
              </w:rPr>
            </w:pPr>
          </w:p>
        </w:tc>
      </w:tr>
      <w:tr>
        <w:trPr>
          <w:trHeight w:val="270"/>
        </w:trPr>
        <w:tc>
          <w:tcPr>
            <w:tcW w:w="7380" w:type="dxa"/>
            <w:vAlign w:val="bottom"/>
          </w:tcPr>
          <w:p>
            <w:pPr>
              <w:ind w:left="20"/>
              <w:spacing w:after="0"/>
              <w:rPr>
                <w:sz w:val="20"/>
                <w:szCs w:val="20"/>
                <w:color w:val="auto"/>
              </w:rPr>
            </w:pPr>
            <w:r>
              <w:rPr>
                <w:rFonts w:ascii="Arial" w:cs="Arial" w:eastAsia="Arial" w:hAnsi="Arial"/>
                <w:sz w:val="18"/>
                <w:szCs w:val="18"/>
                <w:color w:val="auto"/>
              </w:rPr>
              <w:t>Income taxes paid</w:t>
            </w:r>
          </w:p>
        </w:tc>
        <w:tc>
          <w:tcPr>
            <w:tcW w:w="380" w:type="dxa"/>
            <w:vAlign w:val="bottom"/>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1500" w:type="dxa"/>
            <w:vAlign w:val="bottom"/>
          </w:tcPr>
          <w:p>
            <w:pPr>
              <w:jc w:val="right"/>
              <w:ind w:right="50"/>
              <w:spacing w:after="0"/>
              <w:rPr>
                <w:sz w:val="20"/>
                <w:szCs w:val="20"/>
                <w:color w:val="auto"/>
              </w:rPr>
            </w:pPr>
            <w:r>
              <w:rPr>
                <w:rFonts w:ascii="Arial" w:cs="Arial" w:eastAsia="Arial" w:hAnsi="Arial"/>
                <w:sz w:val="18"/>
                <w:szCs w:val="18"/>
                <w:b w:val="1"/>
                <w:bCs w:val="1"/>
                <w:color w:val="auto"/>
              </w:rPr>
              <w:t>9,872</w:t>
            </w:r>
          </w:p>
        </w:tc>
        <w:tc>
          <w:tcPr>
            <w:tcW w:w="76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266,653</w:t>
            </w:r>
          </w:p>
        </w:tc>
        <w:tc>
          <w:tcPr>
            <w:tcW w:w="0" w:type="dxa"/>
            <w:vAlign w:val="bottom"/>
          </w:tcPr>
          <w:p>
            <w:pPr>
              <w:spacing w:after="0"/>
              <w:rPr>
                <w:sz w:val="1"/>
                <w:szCs w:val="1"/>
                <w:color w:val="auto"/>
              </w:rPr>
            </w:pPr>
          </w:p>
        </w:tc>
      </w:tr>
      <w:tr>
        <w:trPr>
          <w:trHeight w:val="81"/>
        </w:trPr>
        <w:tc>
          <w:tcPr>
            <w:tcW w:w="738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150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00"/>
          </w:cols>
          <w:pgMar w:left="360" w:top="904" w:right="339" w:bottom="487" w:gutter="0" w:footer="0" w:header="0"/>
        </w:sectPr>
      </w:pPr>
    </w:p>
    <w:p>
      <w:pPr>
        <w:spacing w:after="0" w:line="393" w:lineRule="exact"/>
        <w:rPr>
          <w:sz w:val="20"/>
          <w:szCs w:val="20"/>
          <w:color w:val="auto"/>
        </w:rPr>
      </w:pPr>
    </w:p>
    <w:p>
      <w:pPr>
        <w:ind w:left="11120"/>
        <w:spacing w:after="0"/>
        <w:rPr>
          <w:sz w:val="20"/>
          <w:szCs w:val="20"/>
          <w:color w:val="auto"/>
        </w:rPr>
      </w:pPr>
      <w:r>
        <w:rPr>
          <w:rFonts w:ascii="Arial" w:cs="Arial" w:eastAsia="Arial" w:hAnsi="Arial"/>
          <w:sz w:val="13"/>
          <w:szCs w:val="13"/>
          <w:color w:val="auto"/>
        </w:rPr>
        <w:t>6</w:t>
      </w:r>
    </w:p>
    <w:sectPr>
      <w:pgSz w:w="11900" w:h="16838" w:orient="portrait"/>
      <w:cols w:equalWidth="0" w:num="1">
        <w:col w:w="11200"/>
      </w:cols>
      <w:pgMar w:left="360" w:top="904" w:right="339" w:bottom="487"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lowerLetter"/>
      <w:start w:val="5"/>
    </w:lvl>
  </w:abstractNum>
  <w:abstractNum w:abstractNumId="2">
    <w:nsid w:val="625558EC"/>
    <w:multiLevelType w:val="hybridMultilevel"/>
    <w:lvl w:ilvl="0">
      <w:lvlJc w:val="left"/>
      <w:lvlText w:val="(%1)"/>
      <w:numFmt w:val="lowerLetter"/>
      <w:start w:val="4"/>
    </w:lvl>
  </w:abstractNum>
  <w:abstractNum w:abstractNumId="3">
    <w:nsid w:val="238E1F29"/>
    <w:multiLevelType w:val="hybridMultilevel"/>
    <w:lvl w:ilvl="0">
      <w:lvlJc w:val="left"/>
      <w:lvlText w:val="%1"/>
      <w:numFmt w:val="decimal"/>
      <w:start w:val="104"/>
    </w:lvl>
  </w:abstractNum>
  <w:abstractNum w:abstractNumId="4">
    <w:nsid w:val="46E87CCD"/>
    <w:multiLevelType w:val="hybridMultilevel"/>
    <w:lvl w:ilvl="0">
      <w:lvlJc w:val="left"/>
      <w:lvlText w:val="(%1)"/>
      <w:numFmt w:val="decimal"/>
      <w:start w:val="925"/>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2020-08-20T15:14:16Z</dcterms:created>
  <dcterms:modified xsi:type="dcterms:W3CDTF">2020-08-20T15:14:16Z</dcterms:modified>
</cp:coreProperties>
</file>